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F6A1" w14:textId="1B3538BD" w:rsidR="001470FF" w:rsidRPr="001C2E4C" w:rsidRDefault="004F4D53" w:rsidP="004F4D53">
      <w:pPr>
        <w:tabs>
          <w:tab w:val="left" w:pos="1985"/>
        </w:tabs>
        <w:spacing w:before="362" w:after="0"/>
        <w:rPr>
          <w:b/>
          <w:color w:val="000000" w:themeColor="text1"/>
          <w:w w:val="95"/>
          <w:sz w:val="40"/>
        </w:rPr>
      </w:pPr>
      <w:r>
        <w:rPr>
          <w:b/>
          <w:color w:val="000000" w:themeColor="text1"/>
          <w:w w:val="95"/>
          <w:sz w:val="40"/>
        </w:rPr>
        <w:tab/>
      </w:r>
      <w:r w:rsidR="00E1616B">
        <w:rPr>
          <w:b/>
          <w:color w:val="000000" w:themeColor="text1"/>
          <w:w w:val="95"/>
          <w:sz w:val="40"/>
        </w:rPr>
        <w:t xml:space="preserve">Sell </w:t>
      </w:r>
      <w:proofErr w:type="spellStart"/>
      <w:r w:rsidR="00E1616B">
        <w:rPr>
          <w:b/>
          <w:color w:val="000000" w:themeColor="text1"/>
          <w:w w:val="95"/>
          <w:sz w:val="40"/>
        </w:rPr>
        <w:t>buy</w:t>
      </w:r>
      <w:proofErr w:type="spellEnd"/>
      <w:r w:rsidR="00E1616B">
        <w:rPr>
          <w:b/>
          <w:color w:val="000000" w:themeColor="text1"/>
          <w:w w:val="95"/>
          <w:sz w:val="40"/>
        </w:rPr>
        <w:t xml:space="preserve"> back</w:t>
      </w:r>
    </w:p>
    <w:p w14:paraId="14C8759C" w14:textId="752DE10B" w:rsidR="009E0663" w:rsidRDefault="008F26A5" w:rsidP="004F4D53">
      <w:pPr>
        <w:tabs>
          <w:tab w:val="left" w:pos="1985"/>
        </w:tabs>
        <w:spacing w:line="255" w:lineRule="auto"/>
        <w:ind w:left="1985" w:right="339"/>
        <w:rPr>
          <w:color w:val="808080" w:themeColor="background1" w:themeShade="80"/>
        </w:rPr>
      </w:pPr>
      <w:r w:rsidRPr="008F26A5">
        <w:rPr>
          <w:color w:val="808080" w:themeColor="background1" w:themeShade="80"/>
        </w:rPr>
        <w:t xml:space="preserve">En </w:t>
      </w:r>
      <w:proofErr w:type="spellStart"/>
      <w:r w:rsidR="00D75402">
        <w:rPr>
          <w:color w:val="808080" w:themeColor="background1" w:themeShade="80"/>
        </w:rPr>
        <w:t>sell</w:t>
      </w:r>
      <w:proofErr w:type="spellEnd"/>
      <w:r w:rsidR="00D75402">
        <w:rPr>
          <w:color w:val="808080" w:themeColor="background1" w:themeShade="80"/>
        </w:rPr>
        <w:t xml:space="preserve"> </w:t>
      </w:r>
      <w:proofErr w:type="spellStart"/>
      <w:r w:rsidR="00D75402">
        <w:rPr>
          <w:color w:val="808080" w:themeColor="background1" w:themeShade="80"/>
        </w:rPr>
        <w:t>buy</w:t>
      </w:r>
      <w:proofErr w:type="spellEnd"/>
      <w:r w:rsidR="00D75402">
        <w:rPr>
          <w:color w:val="808080" w:themeColor="background1" w:themeShade="80"/>
        </w:rPr>
        <w:t xml:space="preserve"> back</w:t>
      </w:r>
      <w:r w:rsidRPr="008F26A5">
        <w:rPr>
          <w:color w:val="808080" w:themeColor="background1" w:themeShade="80"/>
        </w:rPr>
        <w:t xml:space="preserve"> er e</w:t>
      </w:r>
      <w:r w:rsidR="00D75402">
        <w:rPr>
          <w:color w:val="808080" w:themeColor="background1" w:themeShade="80"/>
        </w:rPr>
        <w:t xml:space="preserve">t lån med en obligation som sikkerhed. En </w:t>
      </w:r>
      <w:proofErr w:type="spellStart"/>
      <w:r w:rsidR="00D75402">
        <w:rPr>
          <w:color w:val="808080" w:themeColor="background1" w:themeShade="80"/>
        </w:rPr>
        <w:t>sell</w:t>
      </w:r>
      <w:proofErr w:type="spellEnd"/>
      <w:r w:rsidR="00D75402">
        <w:rPr>
          <w:color w:val="808080" w:themeColor="background1" w:themeShade="80"/>
        </w:rPr>
        <w:t xml:space="preserve"> </w:t>
      </w:r>
      <w:proofErr w:type="spellStart"/>
      <w:r w:rsidR="00D75402">
        <w:rPr>
          <w:color w:val="808080" w:themeColor="background1" w:themeShade="80"/>
        </w:rPr>
        <w:t>buy</w:t>
      </w:r>
      <w:proofErr w:type="spellEnd"/>
      <w:r w:rsidR="00D75402">
        <w:rPr>
          <w:color w:val="808080" w:themeColor="background1" w:themeShade="80"/>
        </w:rPr>
        <w:t xml:space="preserve"> back er dermed et styringsinstrument til likviditet </w:t>
      </w:r>
      <w:r w:rsidR="009E0663">
        <w:rPr>
          <w:color w:val="808080" w:themeColor="background1" w:themeShade="80"/>
        </w:rPr>
        <w:t>og/</w:t>
      </w:r>
      <w:r w:rsidR="00D75402">
        <w:rPr>
          <w:color w:val="808080" w:themeColor="background1" w:themeShade="80"/>
        </w:rPr>
        <w:t>eller finansiering af</w:t>
      </w:r>
      <w:r w:rsidR="009E0663">
        <w:rPr>
          <w:color w:val="808080" w:themeColor="background1" w:themeShade="80"/>
        </w:rPr>
        <w:t xml:space="preserve"> investering i obligationer.</w:t>
      </w:r>
    </w:p>
    <w:p w14:paraId="7D0309BD" w14:textId="77777777" w:rsidR="00D75402" w:rsidRPr="00971A87" w:rsidRDefault="00D75402" w:rsidP="00796F07">
      <w:pPr>
        <w:spacing w:line="255" w:lineRule="auto"/>
        <w:ind w:left="1985" w:right="339"/>
        <w:rPr>
          <w:color w:val="808080" w:themeColor="background1" w:themeShade="80"/>
        </w:rPr>
        <w:sectPr w:rsidR="00D75402" w:rsidRPr="00971A87" w:rsidSect="004F4D53">
          <w:pgSz w:w="11906" w:h="16838"/>
          <w:pgMar w:top="1276" w:right="1077" w:bottom="1440" w:left="1077" w:header="709" w:footer="709" w:gutter="0"/>
          <w:cols w:space="708"/>
          <w:docGrid w:linePitch="360"/>
        </w:sectPr>
      </w:pPr>
    </w:p>
    <w:p w14:paraId="1FD59352" w14:textId="77777777" w:rsidR="007338BE" w:rsidRPr="004F4D53" w:rsidRDefault="007338BE" w:rsidP="00E1616B">
      <w:pPr>
        <w:pStyle w:val="Brdtekst"/>
        <w:rPr>
          <w:rFonts w:asciiTheme="minorHAnsi" w:hAnsiTheme="minorHAnsi"/>
          <w:b/>
          <w:lang w:val="da-DK"/>
        </w:rPr>
      </w:pPr>
    </w:p>
    <w:p w14:paraId="6576CE2E" w14:textId="285CC974" w:rsidR="00796F07" w:rsidRPr="00E1616B" w:rsidRDefault="00796F07" w:rsidP="00E1616B">
      <w:pPr>
        <w:pStyle w:val="Brdtekst"/>
        <w:rPr>
          <w:rFonts w:asciiTheme="minorHAnsi" w:hAnsiTheme="minorHAnsi"/>
          <w:b/>
        </w:rPr>
      </w:pPr>
      <w:proofErr w:type="spellStart"/>
      <w:r w:rsidRPr="00E1616B">
        <w:rPr>
          <w:rFonts w:asciiTheme="minorHAnsi" w:hAnsiTheme="minorHAnsi"/>
          <w:b/>
        </w:rPr>
        <w:t>Hvad</w:t>
      </w:r>
      <w:proofErr w:type="spellEnd"/>
      <w:r w:rsidRPr="00E1616B">
        <w:rPr>
          <w:rFonts w:asciiTheme="minorHAnsi" w:hAnsiTheme="minorHAnsi"/>
          <w:b/>
        </w:rPr>
        <w:t xml:space="preserve"> </w:t>
      </w:r>
      <w:proofErr w:type="spellStart"/>
      <w:r w:rsidRPr="00E1616B">
        <w:rPr>
          <w:rFonts w:asciiTheme="minorHAnsi" w:hAnsiTheme="minorHAnsi"/>
          <w:b/>
        </w:rPr>
        <w:t>er</w:t>
      </w:r>
      <w:proofErr w:type="spellEnd"/>
      <w:r w:rsidRPr="00E1616B">
        <w:rPr>
          <w:rFonts w:asciiTheme="minorHAnsi" w:hAnsiTheme="minorHAnsi"/>
          <w:b/>
        </w:rPr>
        <w:t xml:space="preserve"> </w:t>
      </w:r>
      <w:proofErr w:type="spellStart"/>
      <w:r w:rsidR="00625139" w:rsidRPr="00E1616B">
        <w:rPr>
          <w:rFonts w:asciiTheme="minorHAnsi" w:hAnsiTheme="minorHAnsi"/>
          <w:b/>
        </w:rPr>
        <w:t>en</w:t>
      </w:r>
      <w:proofErr w:type="spellEnd"/>
      <w:r w:rsidR="00625139" w:rsidRPr="00E1616B">
        <w:rPr>
          <w:rFonts w:asciiTheme="minorHAnsi" w:hAnsiTheme="minorHAnsi"/>
          <w:b/>
        </w:rPr>
        <w:t xml:space="preserve"> </w:t>
      </w:r>
      <w:r w:rsidR="00E1616B" w:rsidRPr="00E1616B">
        <w:rPr>
          <w:rFonts w:asciiTheme="minorHAnsi" w:hAnsiTheme="minorHAnsi"/>
          <w:b/>
        </w:rPr>
        <w:t>sell buy back (buy sell back</w:t>
      </w:r>
      <w:r w:rsidR="004F4D53">
        <w:rPr>
          <w:rFonts w:asciiTheme="minorHAnsi" w:hAnsiTheme="minorHAnsi"/>
          <w:b/>
        </w:rPr>
        <w:t>)</w:t>
      </w:r>
      <w:r w:rsidRPr="00E1616B">
        <w:rPr>
          <w:rFonts w:asciiTheme="minorHAnsi" w:hAnsiTheme="minorHAnsi"/>
          <w:b/>
        </w:rPr>
        <w:t>?</w:t>
      </w:r>
    </w:p>
    <w:p w14:paraId="33C35A55" w14:textId="5670B590" w:rsidR="00E1616B" w:rsidRPr="00CC5D35" w:rsidRDefault="00E1616B" w:rsidP="00E1616B">
      <w:pPr>
        <w:pStyle w:val="Brdtekst"/>
        <w:rPr>
          <w:rStyle w:val="fontstyle21"/>
          <w:rFonts w:asciiTheme="minorHAnsi" w:hAnsiTheme="minorHAnsi"/>
          <w:color w:val="808080" w:themeColor="background1" w:themeShade="80"/>
          <w:sz w:val="18"/>
          <w:szCs w:val="18"/>
          <w:lang w:val="da-DK"/>
        </w:rPr>
      </w:pPr>
      <w:r w:rsidRPr="00CC5D35">
        <w:rPr>
          <w:rStyle w:val="fontstyle21"/>
          <w:rFonts w:asciiTheme="minorHAnsi" w:hAnsiTheme="minorHAnsi"/>
          <w:color w:val="808080" w:themeColor="background1" w:themeShade="80"/>
          <w:sz w:val="18"/>
          <w:szCs w:val="18"/>
          <w:lang w:val="da-DK"/>
        </w:rPr>
        <w:t xml:space="preserve">En </w:t>
      </w:r>
      <w:proofErr w:type="spellStart"/>
      <w:r w:rsidRPr="00CC5D35">
        <w:rPr>
          <w:rStyle w:val="fontstyle21"/>
          <w:rFonts w:asciiTheme="minorHAnsi" w:hAnsiTheme="minorHAnsi"/>
          <w:color w:val="808080" w:themeColor="background1" w:themeShade="80"/>
          <w:sz w:val="18"/>
          <w:szCs w:val="18"/>
          <w:lang w:val="da-DK"/>
        </w:rPr>
        <w:t>sell</w:t>
      </w:r>
      <w:proofErr w:type="spellEnd"/>
      <w:r w:rsidRPr="00CC5D35">
        <w:rPr>
          <w:rStyle w:val="fontstyle21"/>
          <w:rFonts w:asciiTheme="minorHAnsi" w:hAnsiTheme="minorHAnsi"/>
          <w:color w:val="808080" w:themeColor="background1" w:themeShade="80"/>
          <w:sz w:val="18"/>
          <w:szCs w:val="18"/>
          <w:lang w:val="da-DK"/>
        </w:rPr>
        <w:t xml:space="preserve"> </w:t>
      </w:r>
      <w:proofErr w:type="spellStart"/>
      <w:r w:rsidRPr="00CC5D35">
        <w:rPr>
          <w:rStyle w:val="fontstyle21"/>
          <w:rFonts w:asciiTheme="minorHAnsi" w:hAnsiTheme="minorHAnsi"/>
          <w:color w:val="808080" w:themeColor="background1" w:themeShade="80"/>
          <w:sz w:val="18"/>
          <w:szCs w:val="18"/>
          <w:lang w:val="da-DK"/>
        </w:rPr>
        <w:t>buy</w:t>
      </w:r>
      <w:proofErr w:type="spellEnd"/>
      <w:r w:rsidRPr="00CC5D35">
        <w:rPr>
          <w:rStyle w:val="fontstyle21"/>
          <w:rFonts w:asciiTheme="minorHAnsi" w:hAnsiTheme="minorHAnsi"/>
          <w:color w:val="808080" w:themeColor="background1" w:themeShade="80"/>
          <w:sz w:val="18"/>
          <w:szCs w:val="18"/>
          <w:lang w:val="da-DK"/>
        </w:rPr>
        <w:t xml:space="preserve"> back </w:t>
      </w:r>
      <w:r w:rsidRPr="00CC5D35">
        <w:rPr>
          <w:rFonts w:asciiTheme="minorHAnsi" w:hAnsiTheme="minorHAnsi"/>
          <w:color w:val="808080" w:themeColor="background1" w:themeShade="80"/>
          <w:lang w:val="da-DK"/>
        </w:rPr>
        <w:t>(</w:t>
      </w:r>
      <w:proofErr w:type="spellStart"/>
      <w:r w:rsidRPr="00CC5D35">
        <w:rPr>
          <w:rFonts w:asciiTheme="minorHAnsi" w:hAnsiTheme="minorHAnsi"/>
          <w:color w:val="808080" w:themeColor="background1" w:themeShade="80"/>
          <w:lang w:val="da-DK"/>
        </w:rPr>
        <w:t>buy</w:t>
      </w:r>
      <w:proofErr w:type="spellEnd"/>
      <w:r w:rsidRPr="00CC5D35">
        <w:rPr>
          <w:rFonts w:asciiTheme="minorHAnsi" w:hAnsiTheme="minorHAnsi"/>
          <w:color w:val="808080" w:themeColor="background1" w:themeShade="80"/>
          <w:lang w:val="da-DK"/>
        </w:rPr>
        <w:t xml:space="preserve"> </w:t>
      </w:r>
      <w:proofErr w:type="spellStart"/>
      <w:r w:rsidRPr="00CC5D35">
        <w:rPr>
          <w:rFonts w:asciiTheme="minorHAnsi" w:hAnsiTheme="minorHAnsi"/>
          <w:color w:val="808080" w:themeColor="background1" w:themeShade="80"/>
          <w:lang w:val="da-DK"/>
        </w:rPr>
        <w:t>sell</w:t>
      </w:r>
      <w:proofErr w:type="spellEnd"/>
      <w:r w:rsidRPr="00CC5D35">
        <w:rPr>
          <w:rFonts w:asciiTheme="minorHAnsi" w:hAnsiTheme="minorHAnsi"/>
          <w:color w:val="808080" w:themeColor="background1" w:themeShade="80"/>
          <w:lang w:val="da-DK"/>
        </w:rPr>
        <w:t xml:space="preserve"> back) </w:t>
      </w:r>
      <w:r w:rsidRPr="00CC5D35">
        <w:rPr>
          <w:rStyle w:val="fontstyle21"/>
          <w:rFonts w:asciiTheme="minorHAnsi" w:hAnsiTheme="minorHAnsi"/>
          <w:color w:val="808080" w:themeColor="background1" w:themeShade="80"/>
          <w:sz w:val="18"/>
          <w:szCs w:val="18"/>
          <w:lang w:val="da-DK"/>
        </w:rPr>
        <w:t>er en aftale mellem to parter, hvor den ene part sælger (køber) en obligation til den anden og samtidig aftaler at købe (sælge) o</w:t>
      </w:r>
      <w:r w:rsidRPr="00CC5D35">
        <w:rPr>
          <w:rStyle w:val="BrdtekstTegn"/>
          <w:rFonts w:asciiTheme="minorHAnsi" w:hAnsiTheme="minorHAnsi"/>
          <w:color w:val="808080" w:themeColor="background1" w:themeShade="80"/>
          <w:lang w:val="da-DK"/>
        </w:rPr>
        <w:t>bligati</w:t>
      </w:r>
      <w:r w:rsidRPr="00CC5D35">
        <w:rPr>
          <w:rStyle w:val="fontstyle21"/>
          <w:rFonts w:asciiTheme="minorHAnsi" w:hAnsiTheme="minorHAnsi"/>
          <w:color w:val="808080" w:themeColor="background1" w:themeShade="80"/>
          <w:sz w:val="18"/>
          <w:szCs w:val="18"/>
          <w:lang w:val="da-DK"/>
        </w:rPr>
        <w:t xml:space="preserve">onen tilbage på et bestemt fremtidigt tidspunkt. En </w:t>
      </w:r>
      <w:proofErr w:type="spellStart"/>
      <w:r w:rsidRPr="00CC5D35">
        <w:rPr>
          <w:rStyle w:val="fontstyle21"/>
          <w:rFonts w:asciiTheme="minorHAnsi" w:hAnsiTheme="minorHAnsi"/>
          <w:color w:val="808080" w:themeColor="background1" w:themeShade="80"/>
          <w:sz w:val="18"/>
          <w:szCs w:val="18"/>
          <w:lang w:val="da-DK"/>
        </w:rPr>
        <w:t>sell</w:t>
      </w:r>
      <w:proofErr w:type="spellEnd"/>
      <w:r w:rsidRPr="00CC5D35">
        <w:rPr>
          <w:rStyle w:val="fontstyle21"/>
          <w:rFonts w:asciiTheme="minorHAnsi" w:hAnsiTheme="minorHAnsi"/>
          <w:color w:val="808080" w:themeColor="background1" w:themeShade="80"/>
          <w:sz w:val="18"/>
          <w:szCs w:val="18"/>
          <w:lang w:val="da-DK"/>
        </w:rPr>
        <w:t xml:space="preserve"> </w:t>
      </w:r>
      <w:proofErr w:type="spellStart"/>
      <w:proofErr w:type="gramStart"/>
      <w:r w:rsidRPr="00CC5D35">
        <w:rPr>
          <w:rStyle w:val="fontstyle21"/>
          <w:rFonts w:asciiTheme="minorHAnsi" w:hAnsiTheme="minorHAnsi"/>
          <w:color w:val="808080" w:themeColor="background1" w:themeShade="80"/>
          <w:sz w:val="18"/>
          <w:szCs w:val="18"/>
          <w:lang w:val="da-DK"/>
        </w:rPr>
        <w:t>buy</w:t>
      </w:r>
      <w:proofErr w:type="spellEnd"/>
      <w:r w:rsidRPr="00CC5D35">
        <w:rPr>
          <w:rStyle w:val="fontstyle21"/>
          <w:rFonts w:asciiTheme="minorHAnsi" w:hAnsiTheme="minorHAnsi"/>
          <w:color w:val="808080" w:themeColor="background1" w:themeShade="80"/>
          <w:sz w:val="18"/>
          <w:szCs w:val="18"/>
          <w:lang w:val="da-DK"/>
        </w:rPr>
        <w:t xml:space="preserve">  back</w:t>
      </w:r>
      <w:proofErr w:type="gramEnd"/>
      <w:r w:rsidRPr="00CC5D35">
        <w:rPr>
          <w:rStyle w:val="fontstyle21"/>
          <w:rFonts w:asciiTheme="minorHAnsi" w:hAnsiTheme="minorHAnsi"/>
          <w:color w:val="808080" w:themeColor="background1" w:themeShade="80"/>
          <w:sz w:val="18"/>
          <w:szCs w:val="18"/>
          <w:lang w:val="da-DK"/>
        </w:rPr>
        <w:t xml:space="preserve"> opfattes altså som to kontrakter, dvs</w:t>
      </w:r>
      <w:r w:rsidR="004F4D53">
        <w:rPr>
          <w:rStyle w:val="fontstyle21"/>
          <w:rFonts w:asciiTheme="minorHAnsi" w:hAnsiTheme="minorHAnsi"/>
          <w:color w:val="808080" w:themeColor="background1" w:themeShade="80"/>
          <w:sz w:val="18"/>
          <w:szCs w:val="18"/>
          <w:lang w:val="da-DK"/>
        </w:rPr>
        <w:t>.</w:t>
      </w:r>
      <w:r w:rsidRPr="00CC5D35">
        <w:rPr>
          <w:rStyle w:val="fontstyle21"/>
          <w:rFonts w:asciiTheme="minorHAnsi" w:hAnsiTheme="minorHAnsi"/>
          <w:color w:val="808080" w:themeColor="background1" w:themeShade="80"/>
          <w:sz w:val="18"/>
          <w:szCs w:val="18"/>
          <w:lang w:val="da-DK"/>
        </w:rPr>
        <w:t xml:space="preserve"> henholdsvis en spot og terminshandel. Evt. afdrag og kuponbetalinger i aftaleperioden tilfalder køberen af obligationen og reguleres ved aftaleperiodens udløb.  </w:t>
      </w:r>
    </w:p>
    <w:p w14:paraId="686D34B6" w14:textId="641F23FA" w:rsidR="00E1616B" w:rsidRPr="00CC5D35" w:rsidRDefault="00E1616B" w:rsidP="00E1616B">
      <w:pPr>
        <w:pStyle w:val="Brdtekst"/>
        <w:rPr>
          <w:rStyle w:val="fontstyle21"/>
          <w:rFonts w:asciiTheme="minorHAnsi" w:hAnsiTheme="minorHAnsi"/>
          <w:color w:val="808080" w:themeColor="background1" w:themeShade="80"/>
          <w:sz w:val="18"/>
          <w:szCs w:val="18"/>
          <w:lang w:val="da-DK"/>
        </w:rPr>
      </w:pPr>
      <w:r w:rsidRPr="00CC5D35">
        <w:rPr>
          <w:rFonts w:asciiTheme="minorHAnsi" w:hAnsiTheme="minorHAnsi"/>
          <w:color w:val="808080" w:themeColor="background1" w:themeShade="80"/>
          <w:lang w:val="da-DK"/>
        </w:rPr>
        <w:br/>
      </w:r>
      <w:r w:rsidRPr="00CC5D35">
        <w:rPr>
          <w:rStyle w:val="fontstyle21"/>
          <w:rFonts w:asciiTheme="minorHAnsi" w:hAnsiTheme="minorHAnsi"/>
          <w:color w:val="808080" w:themeColor="background1" w:themeShade="80"/>
          <w:sz w:val="18"/>
          <w:szCs w:val="18"/>
          <w:lang w:val="da-DK"/>
        </w:rPr>
        <w:t xml:space="preserve">Prisen for både salget og købet aftales på tidspunktet for forretningens indgåelse. Forretningen svarer til en kombination af en spothandel med obligationer og en obligationsterminsforretning, hvor den obligation, der købes (sælges) spot, er den samme som den obligation, der sælges (købes) på termin. </w:t>
      </w:r>
    </w:p>
    <w:p w14:paraId="408C0F0C" w14:textId="2286FC92" w:rsidR="00E1616B" w:rsidRPr="00CC5D35" w:rsidRDefault="00E1616B" w:rsidP="00E1616B">
      <w:pPr>
        <w:pStyle w:val="Brdtekst"/>
        <w:rPr>
          <w:rStyle w:val="fontstyle21"/>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br/>
      </w:r>
      <w:r w:rsidRPr="00CC5D35">
        <w:rPr>
          <w:rStyle w:val="fontstyle21"/>
          <w:rFonts w:asciiTheme="minorHAnsi" w:hAnsiTheme="minorHAnsi"/>
          <w:color w:val="808080" w:themeColor="background1" w:themeShade="80"/>
          <w:sz w:val="18"/>
          <w:szCs w:val="18"/>
          <w:lang w:val="da-DK"/>
        </w:rPr>
        <w:t xml:space="preserve">En </w:t>
      </w:r>
      <w:proofErr w:type="spellStart"/>
      <w:r w:rsidRPr="00CC5D35">
        <w:rPr>
          <w:rStyle w:val="fontstyle21"/>
          <w:rFonts w:asciiTheme="minorHAnsi" w:hAnsiTheme="minorHAnsi"/>
          <w:color w:val="808080" w:themeColor="background1" w:themeShade="80"/>
          <w:sz w:val="18"/>
          <w:szCs w:val="18"/>
          <w:lang w:val="da-DK"/>
        </w:rPr>
        <w:t>sell</w:t>
      </w:r>
      <w:proofErr w:type="spellEnd"/>
      <w:r w:rsidRPr="00CC5D35">
        <w:rPr>
          <w:rStyle w:val="fontstyle21"/>
          <w:rFonts w:asciiTheme="minorHAnsi" w:hAnsiTheme="minorHAnsi"/>
          <w:color w:val="808080" w:themeColor="background1" w:themeShade="80"/>
          <w:sz w:val="18"/>
          <w:szCs w:val="18"/>
          <w:lang w:val="da-DK"/>
        </w:rPr>
        <w:t xml:space="preserve"> </w:t>
      </w:r>
      <w:proofErr w:type="spellStart"/>
      <w:r w:rsidRPr="00CC5D35">
        <w:rPr>
          <w:rStyle w:val="fontstyle21"/>
          <w:rFonts w:asciiTheme="minorHAnsi" w:hAnsiTheme="minorHAnsi"/>
          <w:color w:val="808080" w:themeColor="background1" w:themeShade="80"/>
          <w:sz w:val="18"/>
          <w:szCs w:val="18"/>
          <w:lang w:val="da-DK"/>
        </w:rPr>
        <w:t>buy</w:t>
      </w:r>
      <w:proofErr w:type="spellEnd"/>
      <w:r w:rsidRPr="00CC5D35">
        <w:rPr>
          <w:rStyle w:val="fontstyle21"/>
          <w:rFonts w:asciiTheme="minorHAnsi" w:hAnsiTheme="minorHAnsi"/>
          <w:color w:val="808080" w:themeColor="background1" w:themeShade="80"/>
          <w:sz w:val="18"/>
          <w:szCs w:val="18"/>
          <w:lang w:val="da-DK"/>
        </w:rPr>
        <w:t xml:space="preserve"> back (</w:t>
      </w:r>
      <w:proofErr w:type="spellStart"/>
      <w:r w:rsidRPr="00CC5D35">
        <w:rPr>
          <w:rStyle w:val="fontstyle21"/>
          <w:rFonts w:asciiTheme="minorHAnsi" w:hAnsiTheme="minorHAnsi"/>
          <w:color w:val="808080" w:themeColor="background1" w:themeShade="80"/>
          <w:sz w:val="18"/>
          <w:szCs w:val="18"/>
          <w:lang w:val="da-DK"/>
        </w:rPr>
        <w:t>buy</w:t>
      </w:r>
      <w:proofErr w:type="spellEnd"/>
      <w:r w:rsidRPr="00CC5D35">
        <w:rPr>
          <w:rStyle w:val="fontstyle21"/>
          <w:rFonts w:asciiTheme="minorHAnsi" w:hAnsiTheme="minorHAnsi"/>
          <w:color w:val="808080" w:themeColor="background1" w:themeShade="80"/>
          <w:sz w:val="18"/>
          <w:szCs w:val="18"/>
          <w:lang w:val="da-DK"/>
        </w:rPr>
        <w:t xml:space="preserve"> </w:t>
      </w:r>
      <w:proofErr w:type="spellStart"/>
      <w:r w:rsidRPr="00CC5D35">
        <w:rPr>
          <w:rStyle w:val="fontstyle21"/>
          <w:rFonts w:asciiTheme="minorHAnsi" w:hAnsiTheme="minorHAnsi"/>
          <w:color w:val="808080" w:themeColor="background1" w:themeShade="80"/>
          <w:sz w:val="18"/>
          <w:szCs w:val="18"/>
          <w:lang w:val="da-DK"/>
        </w:rPr>
        <w:t>sell</w:t>
      </w:r>
      <w:proofErr w:type="spellEnd"/>
      <w:r w:rsidRPr="00CC5D35">
        <w:rPr>
          <w:rStyle w:val="fontstyle21"/>
          <w:rFonts w:asciiTheme="minorHAnsi" w:hAnsiTheme="minorHAnsi"/>
          <w:color w:val="808080" w:themeColor="background1" w:themeShade="80"/>
          <w:sz w:val="18"/>
          <w:szCs w:val="18"/>
          <w:lang w:val="da-DK"/>
        </w:rPr>
        <w:t xml:space="preserve"> back) aftale er et lån, som har en obligation som sikkerhed. Den part, der sælger obligationen, skaffer sig herved likviditet og stiller obligationerne som sikkerhed for lånet. Den aftalte handel er gensidigt bindende frem til forfald og kan ikke annulleres. Det er imidlertid muligt at ophæve handlen før forfald. Da handlens markedsværdi kan have ændret sig siden indgåelsen, vil ophævelse før tid som regel omfatte betaling af nutidsværdien fra den ene til den anden part.</w:t>
      </w:r>
      <w:r w:rsidRPr="00CC5D35">
        <w:rPr>
          <w:rStyle w:val="fontstyle21"/>
          <w:rFonts w:asciiTheme="minorHAnsi" w:hAnsiTheme="minorHAnsi"/>
          <w:color w:val="808080" w:themeColor="background1" w:themeShade="80"/>
          <w:lang w:val="da-DK"/>
        </w:rPr>
        <w:t xml:space="preserve"> </w:t>
      </w:r>
    </w:p>
    <w:p w14:paraId="48710B17" w14:textId="7128D7BE" w:rsidR="00E1616B" w:rsidRDefault="00E1616B" w:rsidP="007A6F3E">
      <w:pPr>
        <w:pStyle w:val="Brdtekst"/>
        <w:spacing w:line="244" w:lineRule="auto"/>
        <w:rPr>
          <w:rFonts w:asciiTheme="minorHAnsi" w:hAnsiTheme="minorHAnsi"/>
          <w:color w:val="808080" w:themeColor="background1" w:themeShade="80"/>
          <w:lang w:val="da-DK"/>
        </w:rPr>
      </w:pPr>
    </w:p>
    <w:p w14:paraId="222A5696" w14:textId="59F6014F" w:rsidR="007A6F3E" w:rsidRPr="00CC2AB0" w:rsidRDefault="007A6F3E" w:rsidP="007A6F3E">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Anvendelsesmuligheder</w:t>
      </w:r>
    </w:p>
    <w:p w14:paraId="3007F054" w14:textId="0B4B46FB" w:rsidR="004F4D53"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Har du f.eks. </w:t>
      </w:r>
      <w:r w:rsidR="009E0663">
        <w:rPr>
          <w:rFonts w:asciiTheme="minorHAnsi" w:hAnsiTheme="minorHAnsi"/>
          <w:color w:val="808080" w:themeColor="background1" w:themeShade="80"/>
          <w:lang w:val="da-DK"/>
        </w:rPr>
        <w:t>placeret likviditet i en obligationsportefølje kan du tilpasse likviditeten uden at ændre din obligation</w:t>
      </w:r>
      <w:r w:rsidR="004F4D53">
        <w:rPr>
          <w:rFonts w:asciiTheme="minorHAnsi" w:hAnsiTheme="minorHAnsi"/>
          <w:color w:val="808080" w:themeColor="background1" w:themeShade="80"/>
          <w:lang w:val="da-DK"/>
        </w:rPr>
        <w:t>sportefølje</w:t>
      </w:r>
      <w:r w:rsidR="004F069F">
        <w:rPr>
          <w:rFonts w:asciiTheme="minorHAnsi" w:hAnsiTheme="minorHAnsi"/>
          <w:color w:val="808080" w:themeColor="background1" w:themeShade="80"/>
          <w:lang w:val="da-DK"/>
        </w:rPr>
        <w:t xml:space="preserve">. Det er en fordel, hvis du benytter porteføljen </w:t>
      </w:r>
    </w:p>
    <w:p w14:paraId="2D6E5E03" w14:textId="77777777" w:rsidR="008220FF" w:rsidRDefault="004F069F" w:rsidP="007A6F3E">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som afdækning af renterisiko eller </w:t>
      </w:r>
    </w:p>
    <w:p w14:paraId="58283023" w14:textId="3ABD0E1C" w:rsidR="004F4D53" w:rsidRDefault="004F069F" w:rsidP="007A6F3E">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har en positiv forventning om </w:t>
      </w:r>
    </w:p>
    <w:p w14:paraId="6EC28634" w14:textId="18CB9226" w:rsidR="00AE6BE8" w:rsidRDefault="004F069F" w:rsidP="007A6F3E">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indsnævring af kreditspænd og/eller rentefald. </w:t>
      </w:r>
    </w:p>
    <w:p w14:paraId="274D1788" w14:textId="77777777" w:rsidR="008F26A5" w:rsidRPr="007A6F3E" w:rsidRDefault="008F26A5" w:rsidP="007A6F3E">
      <w:pPr>
        <w:pStyle w:val="Brdtekst"/>
        <w:spacing w:line="244" w:lineRule="auto"/>
        <w:rPr>
          <w:rFonts w:asciiTheme="minorHAnsi" w:hAnsiTheme="minorHAnsi"/>
          <w:color w:val="808080" w:themeColor="background1" w:themeShade="80"/>
          <w:lang w:val="da-DK"/>
        </w:rPr>
      </w:pPr>
    </w:p>
    <w:p w14:paraId="7026492F" w14:textId="77777777" w:rsidR="002A692D" w:rsidRDefault="002A692D" w:rsidP="00AE6BE8">
      <w:pPr>
        <w:pStyle w:val="Brdtekst"/>
        <w:spacing w:line="244" w:lineRule="auto"/>
        <w:rPr>
          <w:rFonts w:asciiTheme="minorHAnsi" w:hAnsiTheme="minorHAnsi"/>
          <w:b/>
          <w:lang w:val="da-DK"/>
        </w:rPr>
      </w:pPr>
    </w:p>
    <w:p w14:paraId="4FDA9F60" w14:textId="52C1CEC5" w:rsidR="00AE6BE8" w:rsidRPr="002A3911" w:rsidRDefault="00AE6BE8" w:rsidP="00AE6BE8">
      <w:pPr>
        <w:pStyle w:val="Brdtekst"/>
        <w:spacing w:line="244" w:lineRule="auto"/>
        <w:rPr>
          <w:rFonts w:asciiTheme="minorHAnsi" w:hAnsiTheme="minorHAnsi"/>
          <w:b/>
          <w:lang w:val="da-DK"/>
        </w:rPr>
      </w:pPr>
      <w:r w:rsidRPr="002A3911">
        <w:rPr>
          <w:rFonts w:asciiTheme="minorHAnsi" w:hAnsiTheme="minorHAnsi"/>
          <w:b/>
          <w:lang w:val="da-DK"/>
        </w:rPr>
        <w:t xml:space="preserve">Eksempel på anvendelse af en </w:t>
      </w:r>
      <w:proofErr w:type="spellStart"/>
      <w:r w:rsidRPr="002A3911">
        <w:rPr>
          <w:rFonts w:asciiTheme="minorHAnsi" w:hAnsiTheme="minorHAnsi"/>
          <w:b/>
          <w:lang w:val="da-DK"/>
        </w:rPr>
        <w:t>sell</w:t>
      </w:r>
      <w:proofErr w:type="spellEnd"/>
      <w:r w:rsidRPr="002A3911">
        <w:rPr>
          <w:rFonts w:asciiTheme="minorHAnsi" w:hAnsiTheme="minorHAnsi"/>
          <w:b/>
          <w:lang w:val="da-DK"/>
        </w:rPr>
        <w:t xml:space="preserve"> </w:t>
      </w:r>
      <w:proofErr w:type="spellStart"/>
      <w:r w:rsidRPr="002A3911">
        <w:rPr>
          <w:rFonts w:asciiTheme="minorHAnsi" w:hAnsiTheme="minorHAnsi"/>
          <w:b/>
          <w:lang w:val="da-DK"/>
        </w:rPr>
        <w:t>buy</w:t>
      </w:r>
      <w:proofErr w:type="spellEnd"/>
      <w:r w:rsidRPr="002A3911">
        <w:rPr>
          <w:rFonts w:asciiTheme="minorHAnsi" w:hAnsiTheme="minorHAnsi"/>
          <w:b/>
          <w:lang w:val="da-DK"/>
        </w:rPr>
        <w:t xml:space="preserve"> back</w:t>
      </w:r>
    </w:p>
    <w:p w14:paraId="51FABD77" w14:textId="45DE6440" w:rsidR="00AE6BE8" w:rsidRDefault="00AE6BE8" w:rsidP="008F26A5">
      <w:pPr>
        <w:pStyle w:val="Brdtekst"/>
        <w:spacing w:line="244" w:lineRule="auto"/>
        <w:rPr>
          <w:rFonts w:asciiTheme="minorHAnsi" w:eastAsia="Cambria" w:hAnsiTheme="minorHAnsi" w:cs="Cambria"/>
          <w:b/>
          <w:bCs/>
          <w:color w:val="000000" w:themeColor="text1"/>
          <w:lang w:val="da-DK"/>
        </w:rPr>
      </w:pPr>
      <w:r>
        <w:rPr>
          <w:rFonts w:asciiTheme="minorHAnsi" w:hAnsiTheme="minorHAnsi"/>
          <w:color w:val="808080" w:themeColor="background1" w:themeShade="80"/>
          <w:lang w:val="da-DK"/>
        </w:rPr>
        <w:t>En virksomhed har placeret sin overskydende likviditet i en obligationsportefølje i forventning om at kunne opnå en højere forrentning end på en drift</w:t>
      </w:r>
      <w:r w:rsidR="004F4D53">
        <w:rPr>
          <w:rFonts w:asciiTheme="minorHAnsi" w:hAnsiTheme="minorHAnsi"/>
          <w:color w:val="808080" w:themeColor="background1" w:themeShade="80"/>
          <w:lang w:val="da-DK"/>
        </w:rPr>
        <w:t>s</w:t>
      </w:r>
      <w:r>
        <w:rPr>
          <w:rFonts w:asciiTheme="minorHAnsi" w:hAnsiTheme="minorHAnsi"/>
          <w:color w:val="808080" w:themeColor="background1" w:themeShade="80"/>
          <w:lang w:val="da-DK"/>
        </w:rPr>
        <w:t xml:space="preserve">konto. Virksomheden vil imidlertid skulle bruge et større beløb den kommende måned. Virksomheden har en positiv forventning til udviklingen i obligationsporteføljen og vælger derfor at belåne den frem for at reducere beholdningen. Virksomheden indgår en </w:t>
      </w:r>
      <w:proofErr w:type="spellStart"/>
      <w:r>
        <w:rPr>
          <w:rFonts w:asciiTheme="minorHAnsi" w:hAnsiTheme="minorHAnsi"/>
          <w:color w:val="808080" w:themeColor="background1" w:themeShade="80"/>
          <w:lang w:val="da-DK"/>
        </w:rPr>
        <w:t>sell</w:t>
      </w:r>
      <w:proofErr w:type="spellEnd"/>
      <w:r>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buy</w:t>
      </w:r>
      <w:proofErr w:type="spellEnd"/>
      <w:r>
        <w:rPr>
          <w:rFonts w:asciiTheme="minorHAnsi" w:hAnsiTheme="minorHAnsi"/>
          <w:color w:val="808080" w:themeColor="background1" w:themeShade="80"/>
          <w:lang w:val="da-DK"/>
        </w:rPr>
        <w:t xml:space="preserve"> back aftale over den periode, hvor den oplever et ekstra træk på likviditeten. Kunden sælger den ønskede mængde obl</w:t>
      </w:r>
      <w:r w:rsidR="004F4D53">
        <w:rPr>
          <w:rFonts w:asciiTheme="minorHAnsi" w:hAnsiTheme="minorHAnsi"/>
          <w:color w:val="808080" w:themeColor="background1" w:themeShade="80"/>
          <w:lang w:val="da-DK"/>
        </w:rPr>
        <w:t>i</w:t>
      </w:r>
      <w:r>
        <w:rPr>
          <w:rFonts w:asciiTheme="minorHAnsi" w:hAnsiTheme="minorHAnsi"/>
          <w:color w:val="808080" w:themeColor="background1" w:themeShade="80"/>
          <w:lang w:val="da-DK"/>
        </w:rPr>
        <w:t>gationer spot og køber dem tilbage på termin. Med udgangspunkt i spotkursen aftales en terminskurs, som afspejler forskellen mellem obligationens kupon og den aftalte lånerente.</w:t>
      </w:r>
    </w:p>
    <w:p w14:paraId="1B435959" w14:textId="77777777" w:rsidR="00AE6BE8" w:rsidRDefault="00AE6BE8" w:rsidP="008F26A5">
      <w:pPr>
        <w:pStyle w:val="Brdtekst"/>
        <w:spacing w:line="244" w:lineRule="auto"/>
        <w:rPr>
          <w:rFonts w:asciiTheme="minorHAnsi" w:eastAsia="Cambria" w:hAnsiTheme="minorHAnsi" w:cs="Cambria"/>
          <w:b/>
          <w:bCs/>
          <w:color w:val="000000" w:themeColor="text1"/>
          <w:lang w:val="da-DK"/>
        </w:rPr>
      </w:pPr>
    </w:p>
    <w:p w14:paraId="0D80AAE4" w14:textId="2118B594" w:rsidR="008F26A5" w:rsidRPr="002E5F13" w:rsidRDefault="008F26A5" w:rsidP="008F26A5">
      <w:pPr>
        <w:pStyle w:val="Brdtekst"/>
        <w:spacing w:line="244" w:lineRule="auto"/>
        <w:rPr>
          <w:rFonts w:asciiTheme="minorHAnsi" w:eastAsia="Cambria" w:hAnsiTheme="minorHAnsi" w:cs="Cambria"/>
          <w:b/>
          <w:bCs/>
          <w:color w:val="000000" w:themeColor="text1"/>
        </w:rPr>
      </w:pPr>
      <w:r w:rsidRPr="00CC2AB0">
        <w:rPr>
          <w:rFonts w:asciiTheme="minorHAnsi" w:eastAsia="Cambria" w:hAnsiTheme="minorHAnsi" w:cs="Cambria"/>
          <w:b/>
          <w:bCs/>
          <w:color w:val="000000" w:themeColor="text1"/>
          <w:lang w:val="da-DK"/>
        </w:rPr>
        <w:t>Handelsmuligheder</w:t>
      </w:r>
    </w:p>
    <w:p w14:paraId="0C48064D" w14:textId="2C6B7219" w:rsidR="007A6F3E" w:rsidRDefault="008F26A5" w:rsidP="007A6F3E">
      <w:pPr>
        <w:pStyle w:val="Brdtekst"/>
        <w:spacing w:line="244" w:lineRule="auto"/>
        <w:rPr>
          <w:rFonts w:asciiTheme="minorHAnsi" w:hAnsiTheme="minorHAnsi"/>
          <w:color w:val="808080" w:themeColor="background1" w:themeShade="80"/>
          <w:lang w:val="da-DK"/>
        </w:rPr>
      </w:pPr>
      <w:proofErr w:type="spellStart"/>
      <w:r w:rsidRPr="004F069F">
        <w:rPr>
          <w:rFonts w:asciiTheme="minorHAnsi" w:hAnsiTheme="minorHAnsi"/>
          <w:color w:val="808080" w:themeColor="background1" w:themeShade="80"/>
        </w:rPr>
        <w:t>En</w:t>
      </w:r>
      <w:proofErr w:type="spellEnd"/>
      <w:r w:rsidRPr="004F069F">
        <w:rPr>
          <w:rFonts w:asciiTheme="minorHAnsi" w:hAnsiTheme="minorHAnsi"/>
          <w:color w:val="808080" w:themeColor="background1" w:themeShade="80"/>
        </w:rPr>
        <w:t xml:space="preserve"> </w:t>
      </w:r>
      <w:r w:rsidR="004F069F" w:rsidRPr="004F069F">
        <w:rPr>
          <w:rFonts w:asciiTheme="minorHAnsi" w:hAnsiTheme="minorHAnsi"/>
          <w:color w:val="808080" w:themeColor="background1" w:themeShade="80"/>
        </w:rPr>
        <w:t>sell buy back</w:t>
      </w:r>
      <w:r w:rsidRPr="004F069F">
        <w:rPr>
          <w:rFonts w:asciiTheme="minorHAnsi" w:hAnsiTheme="minorHAnsi"/>
          <w:color w:val="808080" w:themeColor="background1" w:themeShade="80"/>
        </w:rPr>
        <w:t xml:space="preserve"> handles OTC (Over </w:t>
      </w:r>
      <w:proofErr w:type="gramStart"/>
      <w:r w:rsidRPr="004F069F">
        <w:rPr>
          <w:rFonts w:asciiTheme="minorHAnsi" w:hAnsiTheme="minorHAnsi"/>
          <w:color w:val="808080" w:themeColor="background1" w:themeShade="80"/>
        </w:rPr>
        <w:t>The</w:t>
      </w:r>
      <w:proofErr w:type="gramEnd"/>
      <w:r w:rsidRPr="004F069F">
        <w:rPr>
          <w:rFonts w:asciiTheme="minorHAnsi" w:hAnsiTheme="minorHAnsi"/>
          <w:color w:val="808080" w:themeColor="background1" w:themeShade="80"/>
        </w:rPr>
        <w:t xml:space="preserve"> Counter). </w:t>
      </w:r>
      <w:r w:rsidRPr="008F26A5">
        <w:rPr>
          <w:rFonts w:asciiTheme="minorHAnsi" w:hAnsiTheme="minorHAnsi"/>
          <w:color w:val="808080" w:themeColor="background1" w:themeShade="80"/>
          <w:lang w:val="da-DK"/>
        </w:rPr>
        <w:t>OTC-derivater handles direkte med modparten på individuelle vilkår, som giver mulighed for at tilpasse produktet til lige netop dig og dine behov. Ulempen ved at handle OTC kan blandt andet være, at der ikke findes standardpriser på produkterne, der er karakteriseret ved, at være individuelt tilpasset, og det kan derfor være vanskeligt at sammenligne priser.</w:t>
      </w:r>
    </w:p>
    <w:p w14:paraId="7E3A326D" w14:textId="77777777" w:rsidR="004F4D53" w:rsidRDefault="004F4D53" w:rsidP="007A6F3E">
      <w:pPr>
        <w:pStyle w:val="Brdtekst"/>
        <w:spacing w:line="244" w:lineRule="auto"/>
        <w:rPr>
          <w:rFonts w:asciiTheme="minorHAnsi" w:hAnsiTheme="minorHAnsi"/>
          <w:b/>
          <w:lang w:val="da-DK"/>
        </w:rPr>
      </w:pPr>
    </w:p>
    <w:p w14:paraId="1064F96B" w14:textId="01DC5F21" w:rsidR="006E1A9C" w:rsidRPr="006E1A9C" w:rsidRDefault="006E1A9C" w:rsidP="007A6F3E">
      <w:pPr>
        <w:pStyle w:val="Brdtekst"/>
        <w:spacing w:line="244" w:lineRule="auto"/>
        <w:rPr>
          <w:rFonts w:asciiTheme="minorHAnsi" w:hAnsiTheme="minorHAnsi"/>
          <w:b/>
          <w:lang w:val="da-DK"/>
        </w:rPr>
      </w:pPr>
      <w:r w:rsidRPr="006E1A9C">
        <w:rPr>
          <w:rFonts w:asciiTheme="minorHAnsi" w:hAnsiTheme="minorHAnsi"/>
          <w:b/>
          <w:lang w:val="da-DK"/>
        </w:rPr>
        <w:t>Handelsoplysninger</w:t>
      </w:r>
    </w:p>
    <w:p w14:paraId="2F046C5E" w14:textId="264EBA8A" w:rsidR="006E1A9C" w:rsidRPr="00CC5D35" w:rsidRDefault="006E1A9C" w:rsidP="00B55491">
      <w:pPr>
        <w:pStyle w:val="Brdtekst"/>
        <w:rPr>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t xml:space="preserve">I aftalen fastlægges underliggende obligation, nominelt beløb, startdato, slutdato og aftalerenten. </w:t>
      </w:r>
    </w:p>
    <w:p w14:paraId="7C8535ED" w14:textId="77777777" w:rsidR="002A692D" w:rsidRDefault="006E1A9C" w:rsidP="00B55491">
      <w:pPr>
        <w:pStyle w:val="Brdtekst"/>
        <w:rPr>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t xml:space="preserve">Aftalerenten vil som udgangspunkt afspejle de samme forhold, som gør sig gældende i det primære marked, </w:t>
      </w:r>
    </w:p>
    <w:p w14:paraId="6229DA60" w14:textId="77777777" w:rsidR="002A692D" w:rsidRDefault="006E1A9C" w:rsidP="00B55491">
      <w:pPr>
        <w:pStyle w:val="Brdtekst"/>
        <w:rPr>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t>dvs</w:t>
      </w:r>
      <w:r w:rsidR="004F4D53">
        <w:rPr>
          <w:rFonts w:asciiTheme="minorHAnsi" w:hAnsiTheme="minorHAnsi"/>
          <w:color w:val="808080" w:themeColor="background1" w:themeShade="80"/>
          <w:lang w:val="da-DK"/>
        </w:rPr>
        <w:t>.</w:t>
      </w:r>
      <w:r w:rsidRPr="00CC5D35">
        <w:rPr>
          <w:rFonts w:asciiTheme="minorHAnsi" w:hAnsiTheme="minorHAnsi"/>
          <w:color w:val="808080" w:themeColor="background1" w:themeShade="80"/>
          <w:lang w:val="da-DK"/>
        </w:rPr>
        <w:t xml:space="preserve"> afspejle rating, kredit, likviditet </w:t>
      </w:r>
    </w:p>
    <w:p w14:paraId="327776D1" w14:textId="77777777" w:rsidR="002A692D" w:rsidRDefault="006E1A9C" w:rsidP="00B55491">
      <w:pPr>
        <w:pStyle w:val="Brdtekst"/>
        <w:rPr>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t xml:space="preserve">mv. Illikvide obligationer eller obligationer, som det er vanskeligt at låne, kan dog blive handlet til betydeligt dårligere rentesatser eller kan i værste fald være umulige at </w:t>
      </w:r>
    </w:p>
    <w:p w14:paraId="626DADCC" w14:textId="77777777" w:rsidR="002A692D" w:rsidRDefault="002A692D" w:rsidP="00B55491">
      <w:pPr>
        <w:pStyle w:val="Brdtekst"/>
        <w:rPr>
          <w:rFonts w:asciiTheme="minorHAnsi" w:hAnsiTheme="minorHAnsi"/>
          <w:color w:val="808080" w:themeColor="background1" w:themeShade="80"/>
          <w:lang w:val="da-DK"/>
        </w:rPr>
      </w:pPr>
    </w:p>
    <w:p w14:paraId="370B09BF" w14:textId="2C15FBE8" w:rsidR="006E1A9C" w:rsidRPr="00CC5D35" w:rsidRDefault="006E1A9C" w:rsidP="00B55491">
      <w:pPr>
        <w:pStyle w:val="Brdtekst"/>
        <w:rPr>
          <w:rFonts w:asciiTheme="minorHAnsi" w:hAnsiTheme="minorHAnsi"/>
          <w:color w:val="808080" w:themeColor="background1" w:themeShade="80"/>
          <w:lang w:val="da-DK"/>
        </w:rPr>
      </w:pPr>
      <w:r w:rsidRPr="00CC5D35">
        <w:rPr>
          <w:rFonts w:asciiTheme="minorHAnsi" w:hAnsiTheme="minorHAnsi"/>
          <w:color w:val="808080" w:themeColor="background1" w:themeShade="80"/>
          <w:lang w:val="da-DK"/>
        </w:rPr>
        <w:t>låne i markedet.</w:t>
      </w:r>
    </w:p>
    <w:p w14:paraId="79AC1E86" w14:textId="77777777" w:rsidR="008F26A5" w:rsidRPr="007A6F3E" w:rsidRDefault="008F26A5" w:rsidP="007A6F3E">
      <w:pPr>
        <w:pStyle w:val="Brdtekst"/>
        <w:spacing w:line="244" w:lineRule="auto"/>
        <w:rPr>
          <w:rFonts w:asciiTheme="minorHAnsi" w:hAnsiTheme="minorHAnsi"/>
          <w:color w:val="808080" w:themeColor="background1" w:themeShade="80"/>
          <w:lang w:val="da-DK"/>
        </w:rPr>
      </w:pPr>
    </w:p>
    <w:p w14:paraId="07BCA268"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Ophør før udløb</w:t>
      </w:r>
    </w:p>
    <w:p w14:paraId="7997AA33"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Aftalen er som udgangspunkt bindende for begge parter. Ønsker du at komme ud af aftalen før udløb, kan dette ske mod betaling af den aktuelle markedsværdi. Markedsværdien kan både være positiv og negativ og dermed påføre dig enten et tab eller en gevinst. </w:t>
      </w:r>
    </w:p>
    <w:p w14:paraId="7FA54F53" w14:textId="77777777" w:rsidR="008F26A5" w:rsidRPr="007A6F3E" w:rsidRDefault="008F26A5" w:rsidP="008F26A5">
      <w:pPr>
        <w:pStyle w:val="Brdtekst"/>
        <w:spacing w:line="244" w:lineRule="auto"/>
        <w:rPr>
          <w:rFonts w:asciiTheme="minorHAnsi" w:hAnsiTheme="minorHAnsi"/>
          <w:color w:val="808080" w:themeColor="background1" w:themeShade="80"/>
          <w:lang w:val="da-DK"/>
        </w:rPr>
      </w:pPr>
    </w:p>
    <w:p w14:paraId="3ED6771C"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Hvad er risikoen?</w:t>
      </w:r>
    </w:p>
    <w:p w14:paraId="0A0144FB" w14:textId="15D7D05C"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Når du indgår en </w:t>
      </w:r>
      <w:proofErr w:type="spellStart"/>
      <w:r w:rsidR="004F069F">
        <w:rPr>
          <w:rFonts w:asciiTheme="minorHAnsi" w:hAnsiTheme="minorHAnsi"/>
          <w:color w:val="808080" w:themeColor="background1" w:themeShade="80"/>
          <w:lang w:val="da-DK"/>
        </w:rPr>
        <w:t>sell</w:t>
      </w:r>
      <w:proofErr w:type="spellEnd"/>
      <w:r w:rsidR="004F069F">
        <w:rPr>
          <w:rFonts w:asciiTheme="minorHAnsi" w:hAnsiTheme="minorHAnsi"/>
          <w:color w:val="808080" w:themeColor="background1" w:themeShade="80"/>
          <w:lang w:val="da-DK"/>
        </w:rPr>
        <w:t xml:space="preserve"> </w:t>
      </w:r>
      <w:proofErr w:type="spellStart"/>
      <w:r w:rsidR="004F069F">
        <w:rPr>
          <w:rFonts w:asciiTheme="minorHAnsi" w:hAnsiTheme="minorHAnsi"/>
          <w:color w:val="808080" w:themeColor="background1" w:themeShade="80"/>
          <w:lang w:val="da-DK"/>
        </w:rPr>
        <w:t>buy</w:t>
      </w:r>
      <w:proofErr w:type="spellEnd"/>
      <w:r w:rsidR="004F069F">
        <w:rPr>
          <w:rFonts w:asciiTheme="minorHAnsi" w:hAnsiTheme="minorHAnsi"/>
          <w:color w:val="808080" w:themeColor="background1" w:themeShade="80"/>
          <w:lang w:val="da-DK"/>
        </w:rPr>
        <w:t xml:space="preserve"> back</w:t>
      </w:r>
      <w:r w:rsidRPr="008F26A5">
        <w:rPr>
          <w:rFonts w:asciiTheme="minorHAnsi" w:hAnsiTheme="minorHAnsi"/>
          <w:color w:val="808080" w:themeColor="background1" w:themeShade="80"/>
          <w:lang w:val="da-DK"/>
        </w:rPr>
        <w:t xml:space="preserve"> påtager du dig blandt andet modparts</w:t>
      </w:r>
      <w:r w:rsidR="002E5F13">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og markedsrisiko. </w:t>
      </w:r>
    </w:p>
    <w:p w14:paraId="62B20414"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62536EAC" w14:textId="77777777" w:rsidR="008F26A5" w:rsidRPr="008F26A5" w:rsidRDefault="008F26A5" w:rsidP="008F26A5">
      <w:pPr>
        <w:pStyle w:val="Brdtekst"/>
        <w:spacing w:line="244" w:lineRule="auto"/>
        <w:rPr>
          <w:rFonts w:asciiTheme="minorHAnsi" w:hAnsiTheme="minorHAnsi"/>
          <w:i/>
          <w:lang w:val="da-DK"/>
        </w:rPr>
      </w:pPr>
      <w:r w:rsidRPr="008F26A5">
        <w:rPr>
          <w:rFonts w:asciiTheme="minorHAnsi" w:hAnsiTheme="minorHAnsi"/>
          <w:i/>
          <w:lang w:val="da-DK"/>
        </w:rPr>
        <w:t>Markedsrisiko</w:t>
      </w:r>
    </w:p>
    <w:p w14:paraId="35C99C8B" w14:textId="59217381"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Markedsrisikoen er risikoen for udsving i m</w:t>
      </w:r>
      <w:r w:rsidR="004F069F">
        <w:rPr>
          <w:rFonts w:asciiTheme="minorHAnsi" w:hAnsiTheme="minorHAnsi"/>
          <w:color w:val="808080" w:themeColor="background1" w:themeShade="80"/>
          <w:lang w:val="da-DK"/>
        </w:rPr>
        <w:t>arkedsværdien af aftalen</w:t>
      </w:r>
      <w:r w:rsidRPr="008F26A5">
        <w:rPr>
          <w:rFonts w:asciiTheme="minorHAnsi" w:hAnsiTheme="minorHAnsi"/>
          <w:color w:val="808080" w:themeColor="background1" w:themeShade="80"/>
          <w:lang w:val="da-DK"/>
        </w:rPr>
        <w:t xml:space="preserve">. </w:t>
      </w:r>
    </w:p>
    <w:p w14:paraId="57AF88E1" w14:textId="2ABBB46D" w:rsidR="006E1A9C" w:rsidRDefault="008F26A5" w:rsidP="008F26A5">
      <w:pPr>
        <w:pStyle w:val="Brdtekst"/>
        <w:spacing w:line="244" w:lineRule="auto"/>
        <w:rPr>
          <w:rFonts w:asciiTheme="minorHAnsi" w:hAnsiTheme="minorHAnsi"/>
          <w:color w:val="000000"/>
          <w:lang w:val="da-DK"/>
        </w:rPr>
      </w:pPr>
      <w:r w:rsidRPr="008F26A5">
        <w:rPr>
          <w:rFonts w:asciiTheme="minorHAnsi" w:hAnsiTheme="minorHAnsi"/>
          <w:color w:val="808080" w:themeColor="background1" w:themeShade="80"/>
          <w:lang w:val="da-DK"/>
        </w:rPr>
        <w:t>D</w:t>
      </w:r>
      <w:r w:rsidR="004F069F">
        <w:rPr>
          <w:rFonts w:asciiTheme="minorHAnsi" w:hAnsiTheme="minorHAnsi"/>
          <w:color w:val="808080" w:themeColor="background1" w:themeShade="80"/>
          <w:lang w:val="da-DK"/>
        </w:rPr>
        <w:t>a aftalen typisk løber en kort periode og renten på korte løbetider ofte er mege</w:t>
      </w:r>
      <w:r w:rsidR="006375DE">
        <w:rPr>
          <w:rFonts w:asciiTheme="minorHAnsi" w:hAnsiTheme="minorHAnsi"/>
          <w:color w:val="808080" w:themeColor="background1" w:themeShade="80"/>
          <w:lang w:val="da-DK"/>
        </w:rPr>
        <w:t>t stabil er markeds</w:t>
      </w:r>
      <w:r w:rsidR="006E1A9C">
        <w:rPr>
          <w:rFonts w:asciiTheme="minorHAnsi" w:hAnsiTheme="minorHAnsi"/>
          <w:color w:val="808080" w:themeColor="background1" w:themeShade="80"/>
          <w:lang w:val="da-DK"/>
        </w:rPr>
        <w:t>-</w:t>
      </w:r>
      <w:r w:rsidR="006375DE">
        <w:rPr>
          <w:rFonts w:asciiTheme="minorHAnsi" w:hAnsiTheme="minorHAnsi"/>
          <w:color w:val="808080" w:themeColor="background1" w:themeShade="80"/>
          <w:lang w:val="da-DK"/>
        </w:rPr>
        <w:t xml:space="preserve">risikoen lav i forhold til den </w:t>
      </w:r>
      <w:proofErr w:type="spellStart"/>
      <w:r w:rsidR="006375DE">
        <w:rPr>
          <w:rFonts w:asciiTheme="minorHAnsi" w:hAnsiTheme="minorHAnsi"/>
          <w:color w:val="808080" w:themeColor="background1" w:themeShade="80"/>
          <w:lang w:val="da-DK"/>
        </w:rPr>
        <w:t>bagved</w:t>
      </w:r>
      <w:r w:rsidR="006E1A9C">
        <w:rPr>
          <w:rFonts w:asciiTheme="minorHAnsi" w:hAnsiTheme="minorHAnsi"/>
          <w:color w:val="808080" w:themeColor="background1" w:themeShade="80"/>
          <w:lang w:val="da-DK"/>
        </w:rPr>
        <w:t>-</w:t>
      </w:r>
      <w:r w:rsidR="006375DE">
        <w:rPr>
          <w:rFonts w:asciiTheme="minorHAnsi" w:hAnsiTheme="minorHAnsi"/>
          <w:color w:val="808080" w:themeColor="background1" w:themeShade="80"/>
          <w:lang w:val="da-DK"/>
        </w:rPr>
        <w:t>liggende</w:t>
      </w:r>
      <w:proofErr w:type="spellEnd"/>
      <w:r w:rsidR="006375DE">
        <w:rPr>
          <w:rFonts w:asciiTheme="minorHAnsi" w:hAnsiTheme="minorHAnsi"/>
          <w:color w:val="808080" w:themeColor="background1" w:themeShade="80"/>
          <w:lang w:val="da-DK"/>
        </w:rPr>
        <w:t xml:space="preserve"> obligationsinvestering. </w:t>
      </w:r>
    </w:p>
    <w:p w14:paraId="7EDEC6B0" w14:textId="1D15FA74" w:rsidR="004F4D53" w:rsidRDefault="006375DE" w:rsidP="008F26A5">
      <w:pPr>
        <w:pStyle w:val="Brdtekst"/>
        <w:spacing w:line="244" w:lineRule="auto"/>
        <w:rPr>
          <w:rFonts w:asciiTheme="minorHAnsi" w:hAnsiTheme="minorHAnsi"/>
          <w:color w:val="808080" w:themeColor="background1" w:themeShade="80"/>
          <w:lang w:val="da-DK"/>
        </w:rPr>
      </w:pPr>
      <w:r w:rsidRPr="008938AF">
        <w:rPr>
          <w:rFonts w:asciiTheme="minorHAnsi" w:hAnsiTheme="minorHAnsi"/>
          <w:color w:val="808080" w:themeColor="background1" w:themeShade="80"/>
          <w:lang w:val="da-DK"/>
        </w:rPr>
        <w:t xml:space="preserve">Markedsværdien af en </w:t>
      </w:r>
      <w:proofErr w:type="spellStart"/>
      <w:r w:rsidRPr="008938AF">
        <w:rPr>
          <w:rFonts w:asciiTheme="minorHAnsi" w:hAnsiTheme="minorHAnsi"/>
          <w:color w:val="808080" w:themeColor="background1" w:themeShade="80"/>
          <w:lang w:val="da-DK"/>
        </w:rPr>
        <w:t>sell</w:t>
      </w:r>
      <w:proofErr w:type="spellEnd"/>
      <w:r w:rsidRPr="008938AF">
        <w:rPr>
          <w:rFonts w:asciiTheme="minorHAnsi" w:hAnsiTheme="minorHAnsi"/>
          <w:color w:val="808080" w:themeColor="background1" w:themeShade="80"/>
          <w:lang w:val="da-DK"/>
        </w:rPr>
        <w:t xml:space="preserve"> </w:t>
      </w:r>
      <w:proofErr w:type="spellStart"/>
      <w:r w:rsidRPr="008938AF">
        <w:rPr>
          <w:rFonts w:asciiTheme="minorHAnsi" w:hAnsiTheme="minorHAnsi"/>
          <w:color w:val="808080" w:themeColor="background1" w:themeShade="80"/>
          <w:lang w:val="da-DK"/>
        </w:rPr>
        <w:t>buy</w:t>
      </w:r>
      <w:proofErr w:type="spellEnd"/>
      <w:r w:rsidRPr="008938AF">
        <w:rPr>
          <w:rFonts w:asciiTheme="minorHAnsi" w:hAnsiTheme="minorHAnsi"/>
          <w:color w:val="808080" w:themeColor="background1" w:themeShade="80"/>
          <w:lang w:val="da-DK"/>
        </w:rPr>
        <w:t xml:space="preserve"> back er eksponeret over for ændringer i markedsrenten, som påvirker kursen på den underliggende obligation og aftalerenten. Den part, der køber obligationer i en </w:t>
      </w:r>
      <w:proofErr w:type="spellStart"/>
      <w:r w:rsidRPr="008938AF">
        <w:rPr>
          <w:rFonts w:asciiTheme="minorHAnsi" w:hAnsiTheme="minorHAnsi"/>
          <w:color w:val="808080" w:themeColor="background1" w:themeShade="80"/>
          <w:lang w:val="da-DK"/>
        </w:rPr>
        <w:t>sell</w:t>
      </w:r>
      <w:proofErr w:type="spellEnd"/>
      <w:r w:rsidRPr="008938AF">
        <w:rPr>
          <w:rFonts w:asciiTheme="minorHAnsi" w:hAnsiTheme="minorHAnsi"/>
          <w:color w:val="808080" w:themeColor="background1" w:themeShade="80"/>
          <w:lang w:val="da-DK"/>
        </w:rPr>
        <w:t xml:space="preserve"> </w:t>
      </w:r>
      <w:proofErr w:type="spellStart"/>
      <w:r w:rsidRPr="008938AF">
        <w:rPr>
          <w:rFonts w:asciiTheme="minorHAnsi" w:hAnsiTheme="minorHAnsi"/>
          <w:color w:val="808080" w:themeColor="background1" w:themeShade="80"/>
          <w:lang w:val="da-DK"/>
        </w:rPr>
        <w:t>buy</w:t>
      </w:r>
      <w:proofErr w:type="spellEnd"/>
      <w:r w:rsidRPr="008938AF">
        <w:rPr>
          <w:rFonts w:asciiTheme="minorHAnsi" w:hAnsiTheme="minorHAnsi"/>
          <w:color w:val="808080" w:themeColor="background1" w:themeShade="80"/>
          <w:lang w:val="da-DK"/>
        </w:rPr>
        <w:t xml:space="preserve"> back forretning, påtager sig den fulde markedsrisiko på den obligation, der stilles som sikkerhed, i tilfælde af kundens misligholdelse.</w:t>
      </w:r>
      <w:r w:rsidR="006E1A9C" w:rsidRPr="008938AF">
        <w:rPr>
          <w:rFonts w:asciiTheme="minorHAnsi" w:hAnsiTheme="minorHAnsi"/>
          <w:color w:val="808080" w:themeColor="background1" w:themeShade="80"/>
          <w:lang w:val="da-DK"/>
        </w:rPr>
        <w:t xml:space="preserve"> </w:t>
      </w:r>
      <w:proofErr w:type="spellStart"/>
      <w:r w:rsidRPr="008938AF">
        <w:rPr>
          <w:rFonts w:asciiTheme="minorHAnsi" w:hAnsiTheme="minorHAnsi"/>
          <w:color w:val="808080" w:themeColor="background1" w:themeShade="80"/>
          <w:lang w:val="da-DK"/>
        </w:rPr>
        <w:t>Markeds</w:t>
      </w:r>
      <w:r w:rsidR="006E1A9C" w:rsidRPr="008938AF">
        <w:rPr>
          <w:rFonts w:asciiTheme="minorHAnsi" w:hAnsiTheme="minorHAnsi"/>
          <w:color w:val="808080" w:themeColor="background1" w:themeShade="80"/>
          <w:lang w:val="da-DK"/>
        </w:rPr>
        <w:t>-</w:t>
      </w:r>
      <w:r w:rsidRPr="008938AF">
        <w:rPr>
          <w:rFonts w:asciiTheme="minorHAnsi" w:hAnsiTheme="minorHAnsi"/>
          <w:color w:val="808080" w:themeColor="background1" w:themeShade="80"/>
          <w:lang w:val="da-DK"/>
        </w:rPr>
        <w:t>vær</w:t>
      </w:r>
      <w:r w:rsidR="002A692D">
        <w:rPr>
          <w:rFonts w:asciiTheme="minorHAnsi" w:hAnsiTheme="minorHAnsi"/>
          <w:color w:val="808080" w:themeColor="background1" w:themeShade="80"/>
          <w:lang w:val="da-DK"/>
        </w:rPr>
        <w:t>dien</w:t>
      </w:r>
      <w:proofErr w:type="spellEnd"/>
      <w:r w:rsidR="002A692D">
        <w:rPr>
          <w:rFonts w:asciiTheme="minorHAnsi" w:hAnsiTheme="minorHAnsi"/>
          <w:color w:val="808080" w:themeColor="background1" w:themeShade="80"/>
          <w:lang w:val="da-DK"/>
        </w:rPr>
        <w:t xml:space="preserve"> af en </w:t>
      </w:r>
      <w:proofErr w:type="spellStart"/>
      <w:r w:rsidR="002A692D">
        <w:rPr>
          <w:rFonts w:asciiTheme="minorHAnsi" w:hAnsiTheme="minorHAnsi"/>
          <w:color w:val="808080" w:themeColor="background1" w:themeShade="80"/>
          <w:lang w:val="da-DK"/>
        </w:rPr>
        <w:t>sell</w:t>
      </w:r>
      <w:proofErr w:type="spellEnd"/>
      <w:r w:rsidR="002A692D">
        <w:rPr>
          <w:rFonts w:asciiTheme="minorHAnsi" w:hAnsiTheme="minorHAnsi"/>
          <w:color w:val="808080" w:themeColor="background1" w:themeShade="80"/>
          <w:lang w:val="da-DK"/>
        </w:rPr>
        <w:t xml:space="preserve"> </w:t>
      </w:r>
      <w:proofErr w:type="spellStart"/>
      <w:r w:rsidR="002A692D">
        <w:rPr>
          <w:rFonts w:asciiTheme="minorHAnsi" w:hAnsiTheme="minorHAnsi"/>
          <w:color w:val="808080" w:themeColor="background1" w:themeShade="80"/>
          <w:lang w:val="da-DK"/>
        </w:rPr>
        <w:t>buy</w:t>
      </w:r>
      <w:proofErr w:type="spellEnd"/>
      <w:r w:rsidR="002A692D">
        <w:rPr>
          <w:rFonts w:asciiTheme="minorHAnsi" w:hAnsiTheme="minorHAnsi"/>
          <w:color w:val="808080" w:themeColor="background1" w:themeShade="80"/>
          <w:lang w:val="da-DK"/>
        </w:rPr>
        <w:t xml:space="preserve"> back aftale</w:t>
      </w:r>
    </w:p>
    <w:p w14:paraId="02B0B607" w14:textId="0533C558" w:rsidR="002E5F13" w:rsidRPr="008938AF" w:rsidRDefault="006375DE" w:rsidP="008F26A5">
      <w:pPr>
        <w:pStyle w:val="Brdtekst"/>
        <w:spacing w:line="244" w:lineRule="auto"/>
        <w:rPr>
          <w:rFonts w:asciiTheme="minorHAnsi" w:hAnsiTheme="minorHAnsi"/>
          <w:color w:val="808080" w:themeColor="background1" w:themeShade="80"/>
          <w:lang w:val="da-DK"/>
        </w:rPr>
      </w:pPr>
      <w:r w:rsidRPr="008938AF">
        <w:rPr>
          <w:rFonts w:asciiTheme="minorHAnsi" w:hAnsiTheme="minorHAnsi"/>
          <w:color w:val="808080" w:themeColor="background1" w:themeShade="80"/>
          <w:lang w:val="da-DK"/>
        </w:rPr>
        <w:t xml:space="preserve">svarer til en kombination af </w:t>
      </w:r>
      <w:proofErr w:type="spellStart"/>
      <w:r w:rsidRPr="008938AF">
        <w:rPr>
          <w:rFonts w:asciiTheme="minorHAnsi" w:hAnsiTheme="minorHAnsi"/>
          <w:color w:val="808080" w:themeColor="background1" w:themeShade="80"/>
          <w:lang w:val="da-DK"/>
        </w:rPr>
        <w:t>markeds</w:t>
      </w:r>
      <w:r w:rsidR="006E1A9C" w:rsidRPr="008938AF">
        <w:rPr>
          <w:rFonts w:asciiTheme="minorHAnsi" w:hAnsiTheme="minorHAnsi"/>
          <w:color w:val="808080" w:themeColor="background1" w:themeShade="80"/>
          <w:lang w:val="da-DK"/>
        </w:rPr>
        <w:t>-</w:t>
      </w:r>
      <w:r w:rsidRPr="008938AF">
        <w:rPr>
          <w:rFonts w:asciiTheme="minorHAnsi" w:hAnsiTheme="minorHAnsi"/>
          <w:color w:val="808080" w:themeColor="background1" w:themeShade="80"/>
          <w:lang w:val="da-DK"/>
        </w:rPr>
        <w:t>værdien</w:t>
      </w:r>
      <w:proofErr w:type="spellEnd"/>
      <w:r w:rsidRPr="008938AF">
        <w:rPr>
          <w:rFonts w:asciiTheme="minorHAnsi" w:hAnsiTheme="minorHAnsi"/>
          <w:color w:val="808080" w:themeColor="background1" w:themeShade="80"/>
          <w:lang w:val="da-DK"/>
        </w:rPr>
        <w:t xml:space="preserve"> af en spothandel med obligationer og markedsværdien af en obligationsterminsforretning. </w:t>
      </w:r>
    </w:p>
    <w:p w14:paraId="5EAABD54" w14:textId="77777777" w:rsidR="002E5F13" w:rsidRPr="008938AF" w:rsidRDefault="002E5F13" w:rsidP="008F26A5">
      <w:pPr>
        <w:pStyle w:val="Brdtekst"/>
        <w:spacing w:line="244" w:lineRule="auto"/>
        <w:rPr>
          <w:rFonts w:asciiTheme="minorHAnsi" w:hAnsiTheme="minorHAnsi"/>
          <w:color w:val="808080" w:themeColor="background1" w:themeShade="80"/>
          <w:lang w:val="da-DK"/>
        </w:rPr>
      </w:pPr>
    </w:p>
    <w:p w14:paraId="1E8DAE65" w14:textId="2A7503C4" w:rsidR="006375DE" w:rsidRPr="008938AF" w:rsidRDefault="006375DE" w:rsidP="008F26A5">
      <w:pPr>
        <w:pStyle w:val="Brdtekst"/>
        <w:spacing w:line="244" w:lineRule="auto"/>
        <w:rPr>
          <w:rFonts w:asciiTheme="minorHAnsi" w:hAnsiTheme="minorHAnsi"/>
          <w:color w:val="808080" w:themeColor="background1" w:themeShade="80"/>
          <w:lang w:val="da-DK"/>
        </w:rPr>
      </w:pPr>
      <w:r w:rsidRPr="008938AF">
        <w:rPr>
          <w:rFonts w:asciiTheme="minorHAnsi" w:hAnsiTheme="minorHAnsi"/>
          <w:color w:val="808080" w:themeColor="background1" w:themeShade="80"/>
          <w:lang w:val="da-DK"/>
        </w:rPr>
        <w:t xml:space="preserve">Risikoen i forbindelse med kursudviklingen på den obligation, der stilles som sikkerhed, elimineres ikke ved at indgå en </w:t>
      </w:r>
      <w:proofErr w:type="spellStart"/>
      <w:r w:rsidRPr="008938AF">
        <w:rPr>
          <w:rFonts w:asciiTheme="minorHAnsi" w:hAnsiTheme="minorHAnsi"/>
          <w:color w:val="808080" w:themeColor="background1" w:themeShade="80"/>
          <w:lang w:val="da-DK"/>
        </w:rPr>
        <w:t>sell</w:t>
      </w:r>
      <w:proofErr w:type="spellEnd"/>
      <w:r w:rsidRPr="008938AF">
        <w:rPr>
          <w:rFonts w:asciiTheme="minorHAnsi" w:hAnsiTheme="minorHAnsi"/>
          <w:color w:val="808080" w:themeColor="background1" w:themeShade="80"/>
          <w:lang w:val="da-DK"/>
        </w:rPr>
        <w:t xml:space="preserve"> </w:t>
      </w:r>
      <w:proofErr w:type="spellStart"/>
      <w:r w:rsidRPr="008938AF">
        <w:rPr>
          <w:rFonts w:asciiTheme="minorHAnsi" w:hAnsiTheme="minorHAnsi"/>
          <w:color w:val="808080" w:themeColor="background1" w:themeShade="80"/>
          <w:lang w:val="da-DK"/>
        </w:rPr>
        <w:t>buy</w:t>
      </w:r>
      <w:proofErr w:type="spellEnd"/>
      <w:r w:rsidRPr="008938AF">
        <w:rPr>
          <w:rFonts w:asciiTheme="minorHAnsi" w:hAnsiTheme="minorHAnsi"/>
          <w:color w:val="808080" w:themeColor="background1" w:themeShade="80"/>
          <w:lang w:val="da-DK"/>
        </w:rPr>
        <w:t xml:space="preserve"> back aftale. Køberen af en obligation i en </w:t>
      </w:r>
      <w:proofErr w:type="spellStart"/>
      <w:r w:rsidRPr="008938AF">
        <w:rPr>
          <w:rFonts w:asciiTheme="minorHAnsi" w:hAnsiTheme="minorHAnsi"/>
          <w:color w:val="808080" w:themeColor="background1" w:themeShade="80"/>
          <w:lang w:val="da-DK"/>
        </w:rPr>
        <w:t>sell</w:t>
      </w:r>
      <w:proofErr w:type="spellEnd"/>
      <w:r w:rsidRPr="008938AF">
        <w:rPr>
          <w:rFonts w:asciiTheme="minorHAnsi" w:hAnsiTheme="minorHAnsi"/>
          <w:color w:val="808080" w:themeColor="background1" w:themeShade="80"/>
          <w:lang w:val="da-DK"/>
        </w:rPr>
        <w:t xml:space="preserve"> </w:t>
      </w:r>
      <w:proofErr w:type="spellStart"/>
      <w:r w:rsidRPr="008938AF">
        <w:rPr>
          <w:rFonts w:asciiTheme="minorHAnsi" w:hAnsiTheme="minorHAnsi"/>
          <w:color w:val="808080" w:themeColor="background1" w:themeShade="80"/>
          <w:lang w:val="da-DK"/>
        </w:rPr>
        <w:t>buy</w:t>
      </w:r>
      <w:proofErr w:type="spellEnd"/>
      <w:r w:rsidRPr="008938AF">
        <w:rPr>
          <w:rFonts w:asciiTheme="minorHAnsi" w:hAnsiTheme="minorHAnsi"/>
          <w:color w:val="808080" w:themeColor="background1" w:themeShade="80"/>
          <w:lang w:val="da-DK"/>
        </w:rPr>
        <w:t xml:space="preserve"> back forretning påtager sig den fulde kreditrisiko på sælger. I tilfælde af misligholdelse kan køber blive påført et tab, hvis markedsværdien af den obligation, der er stillet som sikkerhed, er faldet.</w:t>
      </w:r>
    </w:p>
    <w:p w14:paraId="450A5C00" w14:textId="397842D8" w:rsidR="00955891" w:rsidRDefault="00955891" w:rsidP="008F26A5">
      <w:pPr>
        <w:pStyle w:val="Brdtekst"/>
        <w:spacing w:line="244" w:lineRule="auto"/>
        <w:rPr>
          <w:rFonts w:asciiTheme="minorHAnsi" w:hAnsiTheme="minorHAnsi"/>
          <w:color w:val="808080" w:themeColor="background1" w:themeShade="80"/>
          <w:lang w:val="da-DK"/>
        </w:rPr>
      </w:pPr>
    </w:p>
    <w:p w14:paraId="660A0A15" w14:textId="6101BD3E" w:rsidR="007A6F3E" w:rsidRPr="00CC2AB0"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lastRenderedPageBreak/>
        <w:t>Ramme</w:t>
      </w:r>
      <w:r w:rsidR="00AA656C">
        <w:rPr>
          <w:rFonts w:asciiTheme="minorHAnsi" w:eastAsia="Cambria" w:hAnsiTheme="minorHAnsi" w:cs="Cambria"/>
          <w:b/>
          <w:bCs/>
          <w:color w:val="000000" w:themeColor="text1"/>
          <w:lang w:val="da-DK"/>
        </w:rPr>
        <w:t>aftalen</w:t>
      </w:r>
    </w:p>
    <w:p w14:paraId="7C164A04" w14:textId="3889F446" w:rsidR="00AA656C" w:rsidRPr="00AA656C" w:rsidRDefault="00AA656C" w:rsidP="00AA656C">
      <w:pPr>
        <w:pStyle w:val="Brdtekst"/>
        <w:spacing w:line="244" w:lineRule="auto"/>
        <w:rPr>
          <w:rFonts w:asciiTheme="minorHAnsi" w:hAnsiTheme="minorHAnsi"/>
          <w:color w:val="808080" w:themeColor="background1" w:themeShade="80"/>
          <w:lang w:val="da-DK"/>
        </w:rPr>
      </w:pPr>
      <w:r w:rsidRPr="00AA656C">
        <w:rPr>
          <w:rFonts w:asciiTheme="minorHAnsi" w:hAnsiTheme="minorHAnsi"/>
          <w:color w:val="808080" w:themeColor="background1" w:themeShade="80"/>
          <w:lang w:val="da-DK"/>
        </w:rPr>
        <w:t>I forbindelse med handel med finansielle instrumenter oprettes i pengeinstituttet en rammeaftale</w:t>
      </w:r>
      <w:r w:rsidR="00BD4088">
        <w:rPr>
          <w:rFonts w:asciiTheme="minorHAnsi" w:hAnsiTheme="minorHAnsi"/>
          <w:color w:val="808080" w:themeColor="background1" w:themeShade="80"/>
          <w:lang w:val="da-DK"/>
        </w:rPr>
        <w:t xml:space="preserve"> eller GMRA (Global Master </w:t>
      </w:r>
      <w:proofErr w:type="spellStart"/>
      <w:r w:rsidR="00BD4088">
        <w:rPr>
          <w:rFonts w:asciiTheme="minorHAnsi" w:hAnsiTheme="minorHAnsi"/>
          <w:color w:val="808080" w:themeColor="background1" w:themeShade="80"/>
          <w:lang w:val="da-DK"/>
        </w:rPr>
        <w:t>Repurchase</w:t>
      </w:r>
      <w:proofErr w:type="spellEnd"/>
      <w:r w:rsidR="00BD4088">
        <w:rPr>
          <w:rFonts w:asciiTheme="minorHAnsi" w:hAnsiTheme="minorHAnsi"/>
          <w:color w:val="808080" w:themeColor="background1" w:themeShade="80"/>
          <w:lang w:val="da-DK"/>
        </w:rPr>
        <w:t xml:space="preserve"> Agreement)</w:t>
      </w:r>
      <w:r w:rsidRPr="00AA656C">
        <w:rPr>
          <w:rFonts w:asciiTheme="minorHAnsi" w:hAnsiTheme="minorHAnsi"/>
          <w:color w:val="808080" w:themeColor="background1" w:themeShade="80"/>
          <w:lang w:val="da-DK"/>
        </w:rPr>
        <w:t>. Pengeinstituttet foretager derfor en kreditvurdering af dig som kunde. Kreditvurderingen afgør, om du kan indgå en rammeaftale</w:t>
      </w:r>
      <w:r w:rsidR="00BD4088">
        <w:rPr>
          <w:rFonts w:asciiTheme="minorHAnsi" w:hAnsiTheme="minorHAnsi"/>
          <w:color w:val="808080" w:themeColor="background1" w:themeShade="80"/>
          <w:lang w:val="da-DK"/>
        </w:rPr>
        <w:t xml:space="preserve"> eller GMRA</w:t>
      </w:r>
      <w:r w:rsidRPr="00AA656C">
        <w:rPr>
          <w:rFonts w:asciiTheme="minorHAnsi" w:hAnsiTheme="minorHAnsi"/>
          <w:color w:val="808080" w:themeColor="background1" w:themeShade="80"/>
          <w:lang w:val="da-DK"/>
        </w:rPr>
        <w:t xml:space="preserve"> om finansielle instrumenter og i hvilket omfang. Rammeaftalen</w:t>
      </w:r>
      <w:r w:rsidR="00BD4088">
        <w:rPr>
          <w:rFonts w:asciiTheme="minorHAnsi" w:hAnsiTheme="minorHAnsi"/>
          <w:color w:val="808080" w:themeColor="background1" w:themeShade="80"/>
          <w:lang w:val="da-DK"/>
        </w:rPr>
        <w:t xml:space="preserve"> eller </w:t>
      </w:r>
      <w:proofErr w:type="spellStart"/>
      <w:r w:rsidR="00BD4088">
        <w:rPr>
          <w:rFonts w:asciiTheme="minorHAnsi" w:hAnsiTheme="minorHAnsi"/>
          <w:color w:val="808080" w:themeColor="background1" w:themeShade="80"/>
          <w:lang w:val="da-DK"/>
        </w:rPr>
        <w:t>GMRA’en</w:t>
      </w:r>
      <w:proofErr w:type="spellEnd"/>
      <w:r w:rsidRPr="00AA656C">
        <w:rPr>
          <w:rFonts w:asciiTheme="minorHAnsi" w:hAnsiTheme="minorHAnsi"/>
          <w:color w:val="808080" w:themeColor="background1" w:themeShade="80"/>
          <w:lang w:val="da-DK"/>
        </w:rPr>
        <w:t xml:space="preserve"> definerer, hvilke produkter der kan handles, og angiver et maksimum for, hvor stor den negative markedsværdi af forret-</w:t>
      </w:r>
      <w:r w:rsidRPr="00AA656C">
        <w:rPr>
          <w:lang w:val="da-DK"/>
        </w:rPr>
        <w:t xml:space="preserve"> </w:t>
      </w:r>
      <w:proofErr w:type="spellStart"/>
      <w:r w:rsidRPr="00AA656C">
        <w:rPr>
          <w:rFonts w:asciiTheme="minorHAnsi" w:hAnsiTheme="minorHAnsi"/>
          <w:color w:val="808080" w:themeColor="background1" w:themeShade="80"/>
          <w:lang w:val="da-DK"/>
        </w:rPr>
        <w:t>ningerne</w:t>
      </w:r>
      <w:proofErr w:type="spellEnd"/>
      <w:r w:rsidRPr="00AA656C">
        <w:rPr>
          <w:rFonts w:asciiTheme="minorHAnsi" w:hAnsiTheme="minorHAnsi"/>
          <w:color w:val="808080" w:themeColor="background1" w:themeShade="80"/>
          <w:lang w:val="da-DK"/>
        </w:rPr>
        <w:t xml:space="preserve"> må blive. Markedsværdien vil ved indgåelsen være negativ.</w:t>
      </w:r>
    </w:p>
    <w:p w14:paraId="06A4605D" w14:textId="0AEF75EA" w:rsidR="00606F11" w:rsidRDefault="00AA656C" w:rsidP="00CC2AB0">
      <w:pPr>
        <w:pStyle w:val="Brdtekst"/>
        <w:spacing w:line="244" w:lineRule="auto"/>
        <w:rPr>
          <w:rFonts w:asciiTheme="minorHAnsi" w:hAnsiTheme="minorHAnsi"/>
          <w:color w:val="808080" w:themeColor="background1" w:themeShade="80"/>
          <w:lang w:val="da-DK"/>
        </w:rPr>
      </w:pPr>
      <w:r w:rsidRPr="00AA656C">
        <w:rPr>
          <w:rFonts w:asciiTheme="minorHAnsi" w:hAnsiTheme="minorHAnsi"/>
          <w:color w:val="808080" w:themeColor="background1" w:themeShade="80"/>
          <w:lang w:val="da-DK"/>
        </w:rPr>
        <w:t>Hvis den aftalte størrelse af den negative markedsværdi overskrides, vil det oftest betyde, at kundens rammeaftale</w:t>
      </w:r>
      <w:r w:rsidR="00BD4088">
        <w:rPr>
          <w:rFonts w:asciiTheme="minorHAnsi" w:hAnsiTheme="minorHAnsi"/>
          <w:color w:val="808080" w:themeColor="background1" w:themeShade="80"/>
          <w:lang w:val="da-DK"/>
        </w:rPr>
        <w:t xml:space="preserve"> eller GMRA</w:t>
      </w:r>
      <w:r w:rsidRPr="00AA656C">
        <w:rPr>
          <w:rFonts w:asciiTheme="minorHAnsi" w:hAnsiTheme="minorHAnsi"/>
          <w:color w:val="808080" w:themeColor="background1" w:themeShade="80"/>
          <w:lang w:val="da-DK"/>
        </w:rPr>
        <w:t xml:space="preserve"> er misligholdt. Pengeinstituttet kan vælge at lukke de indgåede forretninger helt eller delvist, eller pengeinstituttet kan kræve, at der stilles sikkerhed med meget kort varsel</w:t>
      </w:r>
      <w:r w:rsidR="008F26A5" w:rsidRPr="008F26A5">
        <w:rPr>
          <w:rFonts w:asciiTheme="minorHAnsi" w:hAnsiTheme="minorHAnsi"/>
          <w:color w:val="808080" w:themeColor="background1" w:themeShade="80"/>
          <w:lang w:val="da-DK"/>
        </w:rPr>
        <w:t>.</w:t>
      </w:r>
    </w:p>
    <w:p w14:paraId="544E2871" w14:textId="2BD01CA5" w:rsidR="000C1CE0" w:rsidRDefault="000C1CE0" w:rsidP="007A6F3E">
      <w:pPr>
        <w:pStyle w:val="Brdtekst"/>
        <w:spacing w:line="244" w:lineRule="auto"/>
        <w:rPr>
          <w:rFonts w:asciiTheme="minorHAnsi" w:eastAsia="Cambria" w:hAnsiTheme="minorHAnsi" w:cs="Cambria"/>
          <w:b/>
          <w:bCs/>
          <w:color w:val="000000" w:themeColor="text1"/>
          <w:lang w:val="da-DK"/>
        </w:rPr>
      </w:pPr>
    </w:p>
    <w:p w14:paraId="4480A600" w14:textId="051A4218" w:rsidR="007A6F3E" w:rsidRPr="00CC2AB0"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Omkostninger</w:t>
      </w:r>
    </w:p>
    <w:p w14:paraId="342C6D25" w14:textId="59272AEC" w:rsidR="00987F10" w:rsidRPr="00FD252C" w:rsidRDefault="00987F10" w:rsidP="00987F10">
      <w:pPr>
        <w:pStyle w:val="Brdtekst"/>
        <w:spacing w:line="244" w:lineRule="auto"/>
        <w:rPr>
          <w:color w:val="808080" w:themeColor="background1" w:themeShade="80"/>
          <w:lang w:val="da-DK"/>
        </w:rPr>
      </w:pPr>
      <w:r>
        <w:rPr>
          <w:rFonts w:asciiTheme="minorHAnsi" w:hAnsiTheme="minorHAnsi"/>
          <w:color w:val="808080" w:themeColor="background1" w:themeShade="80"/>
          <w:lang w:val="da-DK"/>
        </w:rPr>
        <w:t>I en</w:t>
      </w:r>
      <w:r w:rsidRPr="008F26A5">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sell</w:t>
      </w:r>
      <w:proofErr w:type="spellEnd"/>
      <w:r>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buy</w:t>
      </w:r>
      <w:proofErr w:type="spellEnd"/>
      <w:r>
        <w:rPr>
          <w:rFonts w:asciiTheme="minorHAnsi" w:hAnsiTheme="minorHAnsi"/>
          <w:color w:val="808080" w:themeColor="background1" w:themeShade="80"/>
          <w:lang w:val="da-DK"/>
        </w:rPr>
        <w:t xml:space="preserve"> back aftale er der som udgangspunkt ingen direkte</w:t>
      </w:r>
      <w:r w:rsidR="002A692D">
        <w:rPr>
          <w:rFonts w:asciiTheme="minorHAnsi" w:hAnsiTheme="minorHAnsi"/>
          <w:color w:val="808080" w:themeColor="background1" w:themeShade="80"/>
          <w:lang w:val="da-DK"/>
        </w:rPr>
        <w:t xml:space="preserve"> </w:t>
      </w:r>
      <w:r w:rsidR="004F4D53">
        <w:rPr>
          <w:rFonts w:asciiTheme="minorHAnsi" w:hAnsiTheme="minorHAnsi"/>
          <w:color w:val="808080" w:themeColor="background1" w:themeShade="80"/>
          <w:lang w:val="da-DK"/>
        </w:rPr>
        <w:t>o</w:t>
      </w:r>
      <w:r w:rsidR="002A692D">
        <w:rPr>
          <w:rFonts w:asciiTheme="minorHAnsi" w:hAnsiTheme="minorHAnsi"/>
          <w:color w:val="808080" w:themeColor="background1" w:themeShade="80"/>
          <w:lang w:val="da-DK"/>
        </w:rPr>
        <w:t xml:space="preserve">mkostninger, </w:t>
      </w:r>
      <w:r>
        <w:rPr>
          <w:rFonts w:asciiTheme="minorHAnsi" w:hAnsiTheme="minorHAnsi"/>
          <w:color w:val="808080" w:themeColor="background1" w:themeShade="80"/>
          <w:lang w:val="da-DK"/>
        </w:rPr>
        <w:t xml:space="preserve">men kundens finansieringsrente (placeringsrente) </w:t>
      </w:r>
      <w:bookmarkStart w:id="0" w:name="_GoBack"/>
      <w:bookmarkEnd w:id="0"/>
      <w:r>
        <w:rPr>
          <w:rFonts w:asciiTheme="minorHAnsi" w:hAnsiTheme="minorHAnsi"/>
          <w:color w:val="808080" w:themeColor="background1" w:themeShade="80"/>
          <w:lang w:val="da-DK"/>
        </w:rPr>
        <w:t xml:space="preserve">vil være højere (lavere) end den, som anvendes mellem 2 primære markedsdeltagere. Renten vil heller ikke nødvendigvis være ens for alle kunder, men udtrykke den kreditvurdering, som kunden har opnået samt bankens betaling for at øge sin balance.  </w:t>
      </w:r>
    </w:p>
    <w:p w14:paraId="761CC325" w14:textId="790904A7" w:rsidR="00CC5D35" w:rsidRDefault="00CC5D35" w:rsidP="00CC5D35">
      <w:pPr>
        <w:pStyle w:val="Brdtekst"/>
        <w:spacing w:line="242" w:lineRule="auto"/>
        <w:rPr>
          <w:rFonts w:asciiTheme="minorHAnsi" w:hAnsiTheme="minorHAnsi"/>
          <w:color w:val="808080" w:themeColor="background1" w:themeShade="80"/>
          <w:lang w:val="da-DK"/>
        </w:rPr>
      </w:pPr>
    </w:p>
    <w:p w14:paraId="6C89173E" w14:textId="59031171" w:rsidR="00CC5D35" w:rsidRDefault="00CC5D35" w:rsidP="00CC5D35">
      <w:pPr>
        <w:pStyle w:val="Brdtekst"/>
        <w:spacing w:line="242"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Skat</w:t>
      </w:r>
    </w:p>
    <w:p w14:paraId="1ACA98BE" w14:textId="7576A59C" w:rsidR="00CC5D35" w:rsidRDefault="00CC5D35" w:rsidP="00CC5D3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Afledte finansielle instrumenter beskattes som hovedregel efter kursgevinstlovens regler om finansielle kontrakter.</w:t>
      </w:r>
    </w:p>
    <w:p w14:paraId="53B64A7B" w14:textId="134D817A" w:rsidR="002A692D" w:rsidRDefault="00CC5D35" w:rsidP="00CC5D3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Det betyder, at summen af kontraktens (i) værdiudvikling og (ii) nettobetalinger for indkomståret, beskattes løbende efter et </w:t>
      </w:r>
    </w:p>
    <w:p w14:paraId="22317B1D" w14:textId="7D7CC3AE" w:rsidR="00CC5D35" w:rsidRDefault="00CC5D35" w:rsidP="00CC5D3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lagerprincip, og dermed fra år til år kan give positiv eller negativ likviditetspåvirkning. </w:t>
      </w:r>
    </w:p>
    <w:p w14:paraId="20445605" w14:textId="235DE96F" w:rsidR="00CC5D35" w:rsidRDefault="00CC5D35" w:rsidP="00CC5D35">
      <w:pPr>
        <w:pStyle w:val="Brdtekst"/>
        <w:spacing w:line="242" w:lineRule="auto"/>
        <w:rPr>
          <w:rFonts w:asciiTheme="minorHAnsi" w:hAnsiTheme="minorHAnsi"/>
          <w:color w:val="808080" w:themeColor="background1" w:themeShade="80"/>
          <w:lang w:val="da-DK"/>
        </w:rPr>
      </w:pPr>
    </w:p>
    <w:p w14:paraId="08A99E1A" w14:textId="5DA105D2" w:rsidR="00A00ECD" w:rsidRDefault="00A00ECD" w:rsidP="00CC5D35">
      <w:pPr>
        <w:pStyle w:val="Brdtekst"/>
        <w:spacing w:line="242" w:lineRule="auto"/>
        <w:rPr>
          <w:rFonts w:asciiTheme="minorHAnsi" w:hAnsiTheme="minorHAnsi"/>
          <w:color w:val="808080" w:themeColor="background1" w:themeShade="80"/>
          <w:lang w:val="da-DK"/>
        </w:rPr>
      </w:pPr>
    </w:p>
    <w:p w14:paraId="52B3E8B5" w14:textId="05693BB5" w:rsidR="00A00ECD" w:rsidRDefault="00407C45" w:rsidP="00CC5D35">
      <w:pPr>
        <w:pStyle w:val="Brdtekst"/>
        <w:spacing w:line="242" w:lineRule="auto"/>
        <w:rPr>
          <w:rFonts w:asciiTheme="minorHAnsi" w:hAnsiTheme="minorHAnsi"/>
          <w:color w:val="808080" w:themeColor="background1" w:themeShade="80"/>
          <w:lang w:val="da-DK"/>
        </w:rPr>
      </w:pPr>
      <w:r w:rsidRPr="00CC2C3A">
        <w:rPr>
          <w:noProof/>
          <w:color w:val="808080" w:themeColor="background1" w:themeShade="80"/>
          <w:lang w:val="da-DK" w:eastAsia="da-DK"/>
        </w:rPr>
        <mc:AlternateContent>
          <mc:Choice Requires="wpg">
            <w:drawing>
              <wp:anchor distT="0" distB="0" distL="114300" distR="114300" simplePos="0" relativeHeight="251659776" behindDoc="0" locked="0" layoutInCell="1" allowOverlap="1" wp14:anchorId="7FA38F99" wp14:editId="3124503E">
                <wp:simplePos x="0" y="0"/>
                <wp:positionH relativeFrom="margin">
                  <wp:align>left</wp:align>
                </wp:positionH>
                <wp:positionV relativeFrom="paragraph">
                  <wp:posOffset>6985</wp:posOffset>
                </wp:positionV>
                <wp:extent cx="5514975" cy="838200"/>
                <wp:effectExtent l="0" t="0" r="9525" b="0"/>
                <wp:wrapNone/>
                <wp:docPr id="8" name="Gruppe 8"/>
                <wp:cNvGraphicFramePr/>
                <a:graphic xmlns:a="http://schemas.openxmlformats.org/drawingml/2006/main">
                  <a:graphicData uri="http://schemas.microsoft.com/office/word/2010/wordprocessingGroup">
                    <wpg:wgp>
                      <wpg:cNvGrpSpPr/>
                      <wpg:grpSpPr>
                        <a:xfrm>
                          <a:off x="0" y="0"/>
                          <a:ext cx="5514975" cy="838200"/>
                          <a:chOff x="0" y="-34500"/>
                          <a:chExt cx="5516379" cy="787781"/>
                        </a:xfrm>
                      </wpg:grpSpPr>
                      <wps:wsp>
                        <wps:cNvPr id="9" name="Tekstfelt 2"/>
                        <wps:cNvSpPr txBox="1">
                          <a:spLocks noChangeArrowheads="1"/>
                        </wps:cNvSpPr>
                        <wps:spPr bwMode="auto">
                          <a:xfrm>
                            <a:off x="924695" y="-34500"/>
                            <a:ext cx="4591684" cy="787781"/>
                          </a:xfrm>
                          <a:prstGeom prst="rect">
                            <a:avLst/>
                          </a:prstGeom>
                          <a:solidFill>
                            <a:srgbClr val="FFFFFF"/>
                          </a:solidFill>
                          <a:ln w="9525">
                            <a:noFill/>
                            <a:miter lim="800000"/>
                            <a:headEnd/>
                            <a:tailEnd/>
                          </a:ln>
                        </wps:spPr>
                        <wps:txbx>
                          <w:txbxContent>
                            <w:p w14:paraId="661E3A16" w14:textId="3D3C2D0A" w:rsidR="004F4D53" w:rsidRDefault="004F4D53" w:rsidP="004F4D5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898BE63" w14:textId="77777777" w:rsidR="004F4D53" w:rsidRPr="00321A8B" w:rsidRDefault="004F4D53" w:rsidP="004F4D53">
                              <w:pPr>
                                <w:spacing w:after="0" w:line="240" w:lineRule="auto"/>
                                <w:rPr>
                                  <w:color w:val="808080" w:themeColor="background1" w:themeShade="80"/>
                                  <w:sz w:val="18"/>
                                  <w:szCs w:val="20"/>
                                </w:rPr>
                              </w:pPr>
                            </w:p>
                            <w:p w14:paraId="30A74D90" w14:textId="77777777" w:rsidR="004F4D53" w:rsidRPr="00321A8B" w:rsidRDefault="004F4D53" w:rsidP="004F4D5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noAutofit/>
                        </wps:bodyPr>
                      </wps:wsp>
                      <wpg:grpSp>
                        <wpg:cNvPr id="10" name="Group 2"/>
                        <wpg:cNvGrpSpPr>
                          <a:grpSpLocks/>
                        </wpg:cNvGrpSpPr>
                        <wpg:grpSpPr bwMode="auto">
                          <a:xfrm>
                            <a:off x="0" y="0"/>
                            <a:ext cx="1053753" cy="753248"/>
                            <a:chOff x="744" y="136"/>
                            <a:chExt cx="980" cy="854"/>
                          </a:xfrm>
                        </wpg:grpSpPr>
                        <wps:wsp>
                          <wps:cNvPr id="11" name="Rectangle 6"/>
                          <wps:cNvSpPr>
                            <a:spLocks noChangeArrowheads="1"/>
                          </wps:cNvSpPr>
                          <wps:spPr bwMode="auto">
                            <a:xfrm>
                              <a:off x="744" y="608"/>
                              <a:ext cx="868" cy="362"/>
                            </a:xfrm>
                            <a:prstGeom prst="rect">
                              <a:avLst/>
                            </a:prstGeom>
                            <a:solidFill>
                              <a:srgbClr val="B12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744" y="136"/>
                              <a:ext cx="868" cy="472"/>
                            </a:xfrm>
                            <a:prstGeom prst="rect">
                              <a:avLst/>
                            </a:prstGeom>
                            <a:solidFill>
                              <a:srgbClr val="B12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4"/>
                          <wps:cNvSpPr txBox="1">
                            <a:spLocks noChangeArrowheads="1"/>
                          </wps:cNvSpPr>
                          <wps:spPr bwMode="auto">
                            <a:xfrm>
                              <a:off x="823" y="136"/>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528C" w14:textId="77777777" w:rsidR="004F4D53" w:rsidRPr="00321A8B" w:rsidRDefault="004F4D53" w:rsidP="004F4D5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4"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9868" w14:textId="77777777" w:rsidR="004F4D53" w:rsidRPr="00321A8B" w:rsidRDefault="004F4D53" w:rsidP="004F4D5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FA38F99" id="Gruppe 8" o:spid="_x0000_s1026" style="position:absolute;margin-left:0;margin-top:.55pt;width:434.25pt;height:66pt;z-index:251659776;mso-position-horizontal:left;mso-position-horizontal-relative:margin;mso-width-relative:margin;mso-height-relative:margin" coordorigin=",-345" coordsize="55163,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">
                <v:shapetype id="_x0000_t202" coordsize="21600,21600" o:spt="202" path="m,l,21600r21600,l21600,xe">
                  <v:stroke joinstyle="miter"/>
                  <v:path gradientshapeok="t" o:connecttype="rect"/>
                </v:shapetype>
                <v:shape id="Tekstfelt 2" o:spid="_x0000_s1027" type="#_x0000_t202" style="position:absolute;left:9246;top:-345;width:45917;height:7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1E3A16" w14:textId="3D3C2D0A" w:rsidR="004F4D53" w:rsidRDefault="004F4D53" w:rsidP="004F4D5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898BE63" w14:textId="77777777" w:rsidR="004F4D53" w:rsidRPr="00321A8B" w:rsidRDefault="004F4D53" w:rsidP="004F4D53">
                        <w:pPr>
                          <w:spacing w:after="0" w:line="240" w:lineRule="auto"/>
                          <w:rPr>
                            <w:color w:val="808080" w:themeColor="background1" w:themeShade="80"/>
                            <w:sz w:val="18"/>
                            <w:szCs w:val="20"/>
                          </w:rPr>
                        </w:pPr>
                      </w:p>
                      <w:p w14:paraId="30A74D90" w14:textId="77777777" w:rsidR="004F4D53" w:rsidRPr="00321A8B" w:rsidRDefault="004F4D53" w:rsidP="004F4D5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537;height:7532" coordorigin="744,136" coordsize="98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" fillcolor="#b12329"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" fillcolor="#b12329" stroked="f"/>
                  <v:shape id="Text Box 4" o:spid="_x0000_s1031" type="#_x0000_t202" style="position:absolute;left:823;top:136;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D57528C" w14:textId="77777777" w:rsidR="004F4D53" w:rsidRPr="00321A8B" w:rsidRDefault="004F4D53" w:rsidP="004F4D5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A069868" w14:textId="77777777" w:rsidR="004F4D53" w:rsidRPr="00321A8B" w:rsidRDefault="004F4D53" w:rsidP="004F4D5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p w14:paraId="3F79094A" w14:textId="2CB148A9" w:rsidR="00A00ECD" w:rsidRDefault="00A00ECD" w:rsidP="00CC5D35">
      <w:pPr>
        <w:pStyle w:val="Brdtekst"/>
        <w:spacing w:line="242" w:lineRule="auto"/>
        <w:rPr>
          <w:rFonts w:asciiTheme="minorHAnsi" w:hAnsiTheme="minorHAnsi"/>
          <w:color w:val="808080" w:themeColor="background1" w:themeShade="80"/>
          <w:lang w:val="da-DK"/>
        </w:rPr>
      </w:pPr>
    </w:p>
    <w:p w14:paraId="69BD4527" w14:textId="77777777" w:rsidR="00A00ECD" w:rsidRDefault="00A00ECD" w:rsidP="00CC5D35">
      <w:pPr>
        <w:pStyle w:val="Brdtekst"/>
        <w:spacing w:line="242" w:lineRule="auto"/>
        <w:rPr>
          <w:rFonts w:asciiTheme="minorHAnsi" w:hAnsiTheme="minorHAnsi"/>
          <w:color w:val="808080" w:themeColor="background1" w:themeShade="80"/>
          <w:lang w:val="da-DK"/>
        </w:rPr>
      </w:pPr>
    </w:p>
    <w:p w14:paraId="19E90889" w14:textId="7632068F" w:rsidR="00CC5D35" w:rsidRDefault="00CC5D35" w:rsidP="00CC5D3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 i nogle tilfælde begrænset fradrag. Pengeinstituttet tager ikke ansvar for, om afledte finansielle instrumenter har erhvervsmæssig tilknytning.</w:t>
      </w:r>
    </w:p>
    <w:p w14:paraId="001AFDB3" w14:textId="77777777" w:rsidR="00CC5D35" w:rsidRDefault="00CC5D35" w:rsidP="00CC5D35">
      <w:pPr>
        <w:pStyle w:val="Brdtekst"/>
        <w:spacing w:line="242" w:lineRule="auto"/>
        <w:rPr>
          <w:rFonts w:asciiTheme="minorHAnsi" w:hAnsiTheme="minorHAnsi"/>
          <w:color w:val="808080" w:themeColor="background1" w:themeShade="80"/>
          <w:lang w:val="da-DK"/>
        </w:rPr>
      </w:pPr>
    </w:p>
    <w:p w14:paraId="26837A4B" w14:textId="13242800" w:rsidR="00CC5D35" w:rsidRPr="00CC5D35" w:rsidRDefault="00CC5D35" w:rsidP="00CC5D3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Den skattemæssige behandling kan variere og ændre sig afhængig</w:t>
      </w:r>
      <w:r w:rsidR="00D127DE">
        <w:rPr>
          <w:rFonts w:asciiTheme="minorHAnsi" w:hAnsiTheme="minorHAnsi"/>
          <w:color w:val="808080" w:themeColor="background1" w:themeShade="80"/>
          <w:lang w:val="da-DK"/>
        </w:rPr>
        <w:t xml:space="preserve"> af dine skattemæssige forhold, eller som følge af ændrede regler for beskatning, Vi anbefaler, at du kontakter en rådgiver om skattemæssige konsekvenser forud for indgåelse af finansielle kontrakter.</w:t>
      </w:r>
    </w:p>
    <w:p w14:paraId="6EC61AF5"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41051055"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7A5052EF"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768A94A8"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3D75D835"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6CF447BC"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7270F95F"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731B97F0"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04A0B7B8"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24B4C61E"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4621302F"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02425943"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46671F2E"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7D23F842"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p w14:paraId="67F7F6EF" w14:textId="77777777" w:rsidR="00CC5D35" w:rsidRDefault="00CC5D35" w:rsidP="00CC5D35">
      <w:pPr>
        <w:pStyle w:val="Brdtekst"/>
        <w:spacing w:line="242" w:lineRule="auto"/>
        <w:rPr>
          <w:rFonts w:asciiTheme="minorHAnsi" w:eastAsia="Cambria" w:hAnsiTheme="minorHAnsi" w:cs="Cambria"/>
          <w:b/>
          <w:bCs/>
          <w:color w:val="000000" w:themeColor="text1"/>
          <w:lang w:val="da-DK"/>
        </w:rPr>
      </w:pPr>
    </w:p>
    <w:sectPr w:rsidR="00CC5D35" w:rsidSect="00CC5D35">
      <w:type w:val="continuous"/>
      <w:pgSz w:w="11906" w:h="16838"/>
      <w:pgMar w:top="1701" w:right="1134" w:bottom="1701" w:left="1134" w:header="708" w:footer="708" w:gutter="0"/>
      <w:cols w:num="3"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42382"/>
    <w:rsid w:val="0004446D"/>
    <w:rsid w:val="00057B4B"/>
    <w:rsid w:val="000971DC"/>
    <w:rsid w:val="000C1CE0"/>
    <w:rsid w:val="001118B2"/>
    <w:rsid w:val="00112881"/>
    <w:rsid w:val="0011688E"/>
    <w:rsid w:val="00142D8E"/>
    <w:rsid w:val="001470FF"/>
    <w:rsid w:val="00160C2F"/>
    <w:rsid w:val="00160D9A"/>
    <w:rsid w:val="00196DB3"/>
    <w:rsid w:val="001A4069"/>
    <w:rsid w:val="001A5560"/>
    <w:rsid w:val="001C2E4C"/>
    <w:rsid w:val="001D0DBB"/>
    <w:rsid w:val="0026194A"/>
    <w:rsid w:val="002A692D"/>
    <w:rsid w:val="002E5F13"/>
    <w:rsid w:val="0032049E"/>
    <w:rsid w:val="003268E0"/>
    <w:rsid w:val="003A2BD3"/>
    <w:rsid w:val="003A6357"/>
    <w:rsid w:val="003B4A02"/>
    <w:rsid w:val="003D779E"/>
    <w:rsid w:val="003E316E"/>
    <w:rsid w:val="00407C45"/>
    <w:rsid w:val="00434EA8"/>
    <w:rsid w:val="004356C2"/>
    <w:rsid w:val="004435D2"/>
    <w:rsid w:val="0044798B"/>
    <w:rsid w:val="00480C44"/>
    <w:rsid w:val="004B08A9"/>
    <w:rsid w:val="004B28D5"/>
    <w:rsid w:val="004F069F"/>
    <w:rsid w:val="004F4D53"/>
    <w:rsid w:val="004F6FE0"/>
    <w:rsid w:val="00532235"/>
    <w:rsid w:val="00537E32"/>
    <w:rsid w:val="00564054"/>
    <w:rsid w:val="005B54B8"/>
    <w:rsid w:val="00606F11"/>
    <w:rsid w:val="006133A9"/>
    <w:rsid w:val="00624D82"/>
    <w:rsid w:val="00625139"/>
    <w:rsid w:val="006375DE"/>
    <w:rsid w:val="00644EE5"/>
    <w:rsid w:val="00647D5F"/>
    <w:rsid w:val="00673BE3"/>
    <w:rsid w:val="006A135D"/>
    <w:rsid w:val="006B42FC"/>
    <w:rsid w:val="006E1A9C"/>
    <w:rsid w:val="006F737A"/>
    <w:rsid w:val="00702015"/>
    <w:rsid w:val="007338BE"/>
    <w:rsid w:val="00755528"/>
    <w:rsid w:val="00796F07"/>
    <w:rsid w:val="007A6F3E"/>
    <w:rsid w:val="007D059F"/>
    <w:rsid w:val="0080343D"/>
    <w:rsid w:val="008220FF"/>
    <w:rsid w:val="00825349"/>
    <w:rsid w:val="00850F6A"/>
    <w:rsid w:val="008938AF"/>
    <w:rsid w:val="008D4361"/>
    <w:rsid w:val="008D7B4B"/>
    <w:rsid w:val="008E7655"/>
    <w:rsid w:val="008F26A5"/>
    <w:rsid w:val="009058C4"/>
    <w:rsid w:val="0091350E"/>
    <w:rsid w:val="00955891"/>
    <w:rsid w:val="00971A87"/>
    <w:rsid w:val="00974C60"/>
    <w:rsid w:val="0098025C"/>
    <w:rsid w:val="00987F10"/>
    <w:rsid w:val="009A6DBD"/>
    <w:rsid w:val="009D2178"/>
    <w:rsid w:val="009E0663"/>
    <w:rsid w:val="009F7F16"/>
    <w:rsid w:val="00A00ECD"/>
    <w:rsid w:val="00A17FB3"/>
    <w:rsid w:val="00A318A8"/>
    <w:rsid w:val="00A86DF9"/>
    <w:rsid w:val="00AA656C"/>
    <w:rsid w:val="00AB3004"/>
    <w:rsid w:val="00AC06D6"/>
    <w:rsid w:val="00AC1BAC"/>
    <w:rsid w:val="00AD6607"/>
    <w:rsid w:val="00AE6BE8"/>
    <w:rsid w:val="00AE7B13"/>
    <w:rsid w:val="00AF0FB9"/>
    <w:rsid w:val="00B22F19"/>
    <w:rsid w:val="00B40E8D"/>
    <w:rsid w:val="00B552FD"/>
    <w:rsid w:val="00B55491"/>
    <w:rsid w:val="00B628E6"/>
    <w:rsid w:val="00B87029"/>
    <w:rsid w:val="00BA2DEE"/>
    <w:rsid w:val="00BD4088"/>
    <w:rsid w:val="00C33C83"/>
    <w:rsid w:val="00C908C4"/>
    <w:rsid w:val="00CA3EBD"/>
    <w:rsid w:val="00CB080F"/>
    <w:rsid w:val="00CB1817"/>
    <w:rsid w:val="00CB3F84"/>
    <w:rsid w:val="00CB5FC1"/>
    <w:rsid w:val="00CC2AB0"/>
    <w:rsid w:val="00CC2C3A"/>
    <w:rsid w:val="00CC5D35"/>
    <w:rsid w:val="00D07259"/>
    <w:rsid w:val="00D07A32"/>
    <w:rsid w:val="00D11A6B"/>
    <w:rsid w:val="00D127DE"/>
    <w:rsid w:val="00D27387"/>
    <w:rsid w:val="00D5202A"/>
    <w:rsid w:val="00D62353"/>
    <w:rsid w:val="00D75402"/>
    <w:rsid w:val="00D87C0D"/>
    <w:rsid w:val="00DC79DC"/>
    <w:rsid w:val="00DE728E"/>
    <w:rsid w:val="00E15B1E"/>
    <w:rsid w:val="00E1616B"/>
    <w:rsid w:val="00E23F6E"/>
    <w:rsid w:val="00E3140B"/>
    <w:rsid w:val="00E4135A"/>
    <w:rsid w:val="00EA314F"/>
    <w:rsid w:val="00EA42A8"/>
    <w:rsid w:val="00F47B7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docId w15:val="{969313B7-6AD9-444F-B058-ED8C94B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character" w:customStyle="1" w:styleId="fontstyle21">
    <w:name w:val="fontstyle21"/>
    <w:basedOn w:val="Standardskrifttypeiafsnit"/>
    <w:rsid w:val="00E1616B"/>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78754">
      <w:bodyDiv w:val="1"/>
      <w:marLeft w:val="0"/>
      <w:marRight w:val="0"/>
      <w:marTop w:val="0"/>
      <w:marBottom w:val="0"/>
      <w:divBdr>
        <w:top w:val="none" w:sz="0" w:space="0" w:color="auto"/>
        <w:left w:val="none" w:sz="0" w:space="0" w:color="auto"/>
        <w:bottom w:val="none" w:sz="0" w:space="0" w:color="auto"/>
        <w:right w:val="none" w:sz="0" w:space="0" w:color="auto"/>
      </w:divBdr>
    </w:div>
    <w:div w:id="244337773">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09970257">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741832511">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123578585">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413048269">
      <w:bodyDiv w:val="1"/>
      <w:marLeft w:val="0"/>
      <w:marRight w:val="0"/>
      <w:marTop w:val="0"/>
      <w:marBottom w:val="0"/>
      <w:divBdr>
        <w:top w:val="none" w:sz="0" w:space="0" w:color="auto"/>
        <w:left w:val="none" w:sz="0" w:space="0" w:color="auto"/>
        <w:bottom w:val="none" w:sz="0" w:space="0" w:color="auto"/>
        <w:right w:val="none" w:sz="0" w:space="0" w:color="auto"/>
      </w:divBdr>
    </w:div>
    <w:div w:id="1737630565">
      <w:bodyDiv w:val="1"/>
      <w:marLeft w:val="0"/>
      <w:marRight w:val="0"/>
      <w:marTop w:val="0"/>
      <w:marBottom w:val="0"/>
      <w:divBdr>
        <w:top w:val="none" w:sz="0" w:space="0" w:color="auto"/>
        <w:left w:val="none" w:sz="0" w:space="0" w:color="auto"/>
        <w:bottom w:val="none" w:sz="0" w:space="0" w:color="auto"/>
        <w:right w:val="none" w:sz="0" w:space="0" w:color="auto"/>
      </w:divBdr>
    </w:div>
    <w:div w:id="20637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A8E8-71A5-4E9A-BB55-80920E30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6208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BEC</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 Holm</dc:creator>
  <cp:lastModifiedBy>Henrik O. Juhl</cp:lastModifiedBy>
  <cp:revision>3</cp:revision>
  <dcterms:created xsi:type="dcterms:W3CDTF">2018-10-05T06:47:00Z</dcterms:created>
  <dcterms:modified xsi:type="dcterms:W3CDTF">2018-10-05T06:58:00Z</dcterms:modified>
</cp:coreProperties>
</file>